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2" w:type="pct"/>
        <w:tblInd w:w="-176" w:type="dxa"/>
        <w:tblLook w:val="0000" w:firstRow="0" w:lastRow="0" w:firstColumn="0" w:lastColumn="0" w:noHBand="0" w:noVBand="0"/>
      </w:tblPr>
      <w:tblGrid>
        <w:gridCol w:w="10270"/>
      </w:tblGrid>
      <w:tr w:rsidR="002E0771" w:rsidRPr="002E0771" w14:paraId="0EF290D8" w14:textId="77777777" w:rsidTr="000437C1">
        <w:tc>
          <w:tcPr>
            <w:tcW w:w="5000" w:type="pct"/>
          </w:tcPr>
          <w:p w14:paraId="37C8019C" w14:textId="77777777" w:rsidR="00D12377" w:rsidRPr="002E0771" w:rsidRDefault="00997878" w:rsidP="00D12377">
            <w:pPr>
              <w:pStyle w:val="CWHead"/>
              <w:keepNext/>
              <w:keepLines/>
              <w:tabs>
                <w:tab w:val="clear" w:pos="2880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1"/>
              </w:rPr>
              <w:t>1. SZAKASZ AZ ANYAG/KEVERÉK ÉS A VÁLLALAT/VÁLLALKOZÁS AZONOSÍTÁSA</w:t>
            </w:r>
          </w:p>
        </w:tc>
      </w:tr>
      <w:tr w:rsidR="002E0771" w:rsidRPr="002E0771" w14:paraId="21CEC139" w14:textId="77777777" w:rsidTr="000437C1">
        <w:trPr>
          <w:trHeight w:val="3820"/>
        </w:trPr>
        <w:tc>
          <w:tcPr>
            <w:tcW w:w="5000" w:type="pct"/>
          </w:tcPr>
          <w:p w14:paraId="0AAB79C6" w14:textId="77777777" w:rsidR="00997878" w:rsidRPr="002E0771" w:rsidRDefault="00997878" w:rsidP="00997878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/>
              <w:ind w:left="601" w:hanging="567"/>
              <w:outlineLvl w:val="4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Termékazonosító</w:t>
            </w:r>
          </w:p>
          <w:p w14:paraId="6F6B6975" w14:textId="77777777" w:rsidR="00D12377" w:rsidRPr="002E0771" w:rsidRDefault="00A224D2" w:rsidP="00BB75FE">
            <w:pPr>
              <w:widowControl/>
              <w:autoSpaceDE w:val="0"/>
              <w:autoSpaceDN w:val="0"/>
              <w:adjustRightInd w:val="0"/>
              <w:spacing w:after="120"/>
              <w:ind w:firstLine="601"/>
              <w:rPr>
                <w:rFonts w:cs="Arial"/>
                <w:b/>
                <w:bCs/>
                <w:sz w:val="24"/>
              </w:rPr>
            </w:pPr>
            <w:r>
              <w:rPr>
                <w:b/>
                <w:sz w:val="24"/>
              </w:rPr>
              <w:t>INKER</w:t>
            </w:r>
            <w:r w:rsidR="00306820" w:rsidRPr="002E0771">
              <w:rPr>
                <w:b/>
                <w:sz w:val="24"/>
              </w:rPr>
              <w:t xml:space="preserve"> 500 SC</w:t>
            </w:r>
          </w:p>
          <w:p w14:paraId="06B9A71E" w14:textId="77777777" w:rsidR="00997878" w:rsidRPr="002E0771" w:rsidRDefault="00997878" w:rsidP="00997878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cs="Arial"/>
                <w:b/>
                <w:bCs/>
                <w:sz w:val="22"/>
              </w:rPr>
            </w:pPr>
            <w:r w:rsidRPr="002E0771">
              <w:rPr>
                <w:b/>
                <w:snapToGrid/>
                <w:sz w:val="18"/>
              </w:rPr>
              <w:t>Az anyag vagy keverék lényeges azonosított alkalmazása, illetve ellenjavallt alkalmazása</w:t>
            </w:r>
          </w:p>
          <w:p w14:paraId="1B4CD5E2" w14:textId="77777777" w:rsidR="00997878" w:rsidRPr="002E0771" w:rsidRDefault="00997878" w:rsidP="00997878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Növényvédő szer – gyomirtó szer, sűrített szuszpenzió formájú koncentrátum. Üzemi felhasználók számára szánt termék.  A címke / a felhasználási utasítás szerint alkalmazandó.</w:t>
            </w:r>
          </w:p>
          <w:p w14:paraId="6DB60A7A" w14:textId="77777777" w:rsidR="00D12377" w:rsidRPr="002E0771" w:rsidRDefault="00D12377" w:rsidP="00760252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</w:p>
          <w:p w14:paraId="7BBCE02E" w14:textId="77777777" w:rsidR="00997878" w:rsidRPr="002E0771" w:rsidRDefault="00997878" w:rsidP="00997878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outlineLvl w:val="4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A biztonsági adatlap szállítójának adatai</w:t>
            </w:r>
          </w:p>
          <w:p w14:paraId="17F13A47" w14:textId="77777777" w:rsidR="009E37E0" w:rsidRPr="009E37E0" w:rsidRDefault="00997878" w:rsidP="009E37E0">
            <w:pPr>
              <w:widowControl/>
              <w:ind w:firstLine="601"/>
              <w:rPr>
                <w:sz w:val="18"/>
              </w:rPr>
            </w:pPr>
            <w:r w:rsidRPr="002E0771">
              <w:rPr>
                <w:sz w:val="18"/>
                <w:u w:val="single"/>
              </w:rPr>
              <w:t>Gyártó:</w:t>
            </w:r>
            <w:r w:rsidRPr="002E0771">
              <w:rPr>
                <w:sz w:val="18"/>
              </w:rPr>
              <w:t xml:space="preserve"> </w:t>
            </w:r>
            <w:r w:rsidR="009E37E0" w:rsidRPr="009E37E0">
              <w:rPr>
                <w:sz w:val="18"/>
              </w:rPr>
              <w:t>INNVIGO Sp. z o.o.</w:t>
            </w:r>
          </w:p>
          <w:p w14:paraId="1C55691F" w14:textId="77777777" w:rsidR="009E37E0" w:rsidRPr="009E37E0" w:rsidRDefault="009E37E0" w:rsidP="009E37E0">
            <w:pPr>
              <w:widowControl/>
              <w:ind w:firstLine="601"/>
              <w:rPr>
                <w:sz w:val="18"/>
              </w:rPr>
            </w:pPr>
            <w:r w:rsidRPr="009E37E0">
              <w:rPr>
                <w:sz w:val="18"/>
              </w:rPr>
              <w:t>Cím: Al. Jerozolimskie 178, 02-486 Warszawa</w:t>
            </w:r>
          </w:p>
          <w:p w14:paraId="13AE8E00" w14:textId="77777777" w:rsidR="009E37E0" w:rsidRPr="009E37E0" w:rsidRDefault="009E37E0" w:rsidP="009E37E0">
            <w:pPr>
              <w:widowControl/>
              <w:ind w:firstLine="601"/>
              <w:rPr>
                <w:sz w:val="18"/>
              </w:rPr>
            </w:pPr>
            <w:r w:rsidRPr="009E37E0">
              <w:rPr>
                <w:sz w:val="18"/>
              </w:rPr>
              <w:t>Adószám: 557-16-98-060</w:t>
            </w:r>
          </w:p>
          <w:p w14:paraId="2A8A5145" w14:textId="77777777" w:rsidR="009E37E0" w:rsidRPr="009E37E0" w:rsidRDefault="009E37E0" w:rsidP="009E37E0">
            <w:pPr>
              <w:widowControl/>
              <w:ind w:firstLine="601"/>
              <w:rPr>
                <w:sz w:val="18"/>
              </w:rPr>
            </w:pPr>
            <w:r w:rsidRPr="009E37E0">
              <w:rPr>
                <w:sz w:val="18"/>
              </w:rPr>
              <w:t>telefon: +48 22 468 26 70</w:t>
            </w:r>
          </w:p>
          <w:p w14:paraId="175C918C" w14:textId="77777777" w:rsidR="009E37E0" w:rsidRPr="009E37E0" w:rsidRDefault="009E37E0" w:rsidP="009E37E0">
            <w:pPr>
              <w:widowControl/>
              <w:ind w:firstLine="601"/>
              <w:rPr>
                <w:sz w:val="18"/>
              </w:rPr>
            </w:pPr>
            <w:r w:rsidRPr="009E37E0">
              <w:rPr>
                <w:sz w:val="18"/>
              </w:rPr>
              <w:t>e-mail: biuro@innvigo.com</w:t>
            </w:r>
          </w:p>
          <w:p w14:paraId="5548544A" w14:textId="77777777" w:rsidR="009E37E0" w:rsidRPr="009E37E0" w:rsidRDefault="009E37E0" w:rsidP="009E37E0">
            <w:pPr>
              <w:widowControl/>
              <w:ind w:firstLine="601"/>
              <w:rPr>
                <w:sz w:val="18"/>
              </w:rPr>
            </w:pPr>
            <w:r w:rsidRPr="009E37E0">
              <w:rPr>
                <w:sz w:val="18"/>
              </w:rPr>
              <w:t>A biztonsági adatlapért felelős személy: RD@chemirol.com.pl</w:t>
            </w:r>
          </w:p>
          <w:p w14:paraId="52D69012" w14:textId="77777777" w:rsidR="00997878" w:rsidRPr="002E0771" w:rsidRDefault="00997878" w:rsidP="00997878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outlineLvl w:val="4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Sürgősségi telefonszám Lengyelországban</w:t>
            </w:r>
          </w:p>
          <w:p w14:paraId="0C61DFAE" w14:textId="77777777" w:rsidR="00D12377" w:rsidRPr="002E0771" w:rsidRDefault="00997878" w:rsidP="00997878">
            <w:pPr>
              <w:widowControl/>
              <w:spacing w:after="60"/>
              <w:ind w:firstLine="601"/>
              <w:rPr>
                <w:rFonts w:cs="Arial"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Sürgősségi telefonszám (24 órán át hívható) +44 1484 538 444; Magyarországon: 06 1 488 2288</w:t>
            </w:r>
          </w:p>
        </w:tc>
      </w:tr>
    </w:tbl>
    <w:tbl>
      <w:tblPr>
        <w:tblpPr w:leftFromText="141" w:rightFromText="141" w:vertAnchor="text" w:horzAnchor="margin" w:tblpX="-170" w:tblpY="24"/>
        <w:tblOverlap w:val="never"/>
        <w:tblW w:w="10488" w:type="dxa"/>
        <w:tblLook w:val="0000" w:firstRow="0" w:lastRow="0" w:firstColumn="0" w:lastColumn="0" w:noHBand="0" w:noVBand="0"/>
      </w:tblPr>
      <w:tblGrid>
        <w:gridCol w:w="10488"/>
      </w:tblGrid>
      <w:tr w:rsidR="002E0771" w:rsidRPr="002E0771" w14:paraId="49531A6B" w14:textId="77777777" w:rsidTr="005F4AA6">
        <w:trPr>
          <w:trHeight w:val="562"/>
        </w:trPr>
        <w:tc>
          <w:tcPr>
            <w:tcW w:w="10488" w:type="dxa"/>
            <w:shd w:val="clear" w:color="auto" w:fill="auto"/>
          </w:tcPr>
          <w:p w14:paraId="13D7653A" w14:textId="77777777" w:rsidR="00D12377" w:rsidRPr="002E0771" w:rsidRDefault="00997878" w:rsidP="005F4AA6">
            <w:pPr>
              <w:pStyle w:val="CWHead"/>
              <w:keepNext/>
              <w:keepLines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2. SZAKASZ A VESZÉLY MEGHATÁROZÁSA</w:t>
            </w:r>
          </w:p>
        </w:tc>
      </w:tr>
      <w:tr w:rsidR="002E0771" w:rsidRPr="002E0771" w14:paraId="3824DE04" w14:textId="77777777" w:rsidTr="005F4AA6">
        <w:tc>
          <w:tcPr>
            <w:tcW w:w="10488" w:type="dxa"/>
            <w:shd w:val="clear" w:color="auto" w:fill="auto"/>
          </w:tcPr>
          <w:p w14:paraId="14294521" w14:textId="77777777" w:rsidR="00997878" w:rsidRPr="002E0771" w:rsidRDefault="00997878" w:rsidP="00997878">
            <w:pPr>
              <w:widowControl/>
              <w:autoSpaceDE w:val="0"/>
              <w:autoSpaceDN w:val="0"/>
              <w:adjustRightInd w:val="0"/>
              <w:outlineLvl w:val="4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A termék veszélyesnek minősül az érvényes szabályozások szerint.</w:t>
            </w:r>
          </w:p>
          <w:p w14:paraId="0E4DB6B1" w14:textId="77777777" w:rsidR="00997878" w:rsidRPr="002E0771" w:rsidRDefault="00997878" w:rsidP="00997878">
            <w:pPr>
              <w:widowControl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" w:after="60"/>
              <w:ind w:left="567" w:hanging="567"/>
              <w:outlineLvl w:val="4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Az anyag vagy keverék osztályozása</w:t>
            </w:r>
          </w:p>
          <w:p w14:paraId="56666483" w14:textId="77777777" w:rsidR="00997878" w:rsidRPr="002E0771" w:rsidRDefault="00997878" w:rsidP="00997878">
            <w:pPr>
              <w:ind w:left="567"/>
              <w:rPr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 xml:space="preserve">Besorolása az 1272/2008/EK rendelet (CLP) szerint </w:t>
            </w:r>
          </w:p>
          <w:p w14:paraId="312AE8FB" w14:textId="77777777" w:rsidR="00946ECF" w:rsidRPr="002E0771" w:rsidRDefault="008553B0" w:rsidP="00F320B0">
            <w:pPr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Aquatic Chronic 1; H410</w:t>
            </w:r>
          </w:p>
          <w:p w14:paraId="5638B488" w14:textId="77777777" w:rsidR="008553B0" w:rsidRPr="002E0771" w:rsidRDefault="008553B0" w:rsidP="00F320B0">
            <w:pPr>
              <w:ind w:left="567"/>
              <w:rPr>
                <w:rFonts w:cs="Arial"/>
                <w:bCs/>
                <w:snapToGrid/>
                <w:sz w:val="18"/>
              </w:rPr>
            </w:pPr>
            <w:proofErr w:type="gramStart"/>
            <w:r w:rsidRPr="002E0771">
              <w:rPr>
                <w:snapToGrid/>
                <w:sz w:val="18"/>
              </w:rPr>
              <w:t>Aquatic  Acute</w:t>
            </w:r>
            <w:proofErr w:type="gramEnd"/>
            <w:r w:rsidRPr="002E0771">
              <w:rPr>
                <w:snapToGrid/>
                <w:sz w:val="18"/>
              </w:rPr>
              <w:t xml:space="preserve"> 1; H400</w:t>
            </w:r>
          </w:p>
          <w:p w14:paraId="5872ACF5" w14:textId="77777777" w:rsidR="004A1195" w:rsidRPr="002E0771" w:rsidRDefault="00661729" w:rsidP="00F320B0">
            <w:pPr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Acute Tox.4; H302</w:t>
            </w:r>
          </w:p>
          <w:p w14:paraId="42620DE4" w14:textId="77777777" w:rsidR="008553B0" w:rsidRPr="002E0771" w:rsidRDefault="008553B0" w:rsidP="00F320B0">
            <w:pPr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STOT RE 2; H373</w:t>
            </w:r>
          </w:p>
          <w:p w14:paraId="46BBCA54" w14:textId="77777777" w:rsidR="008553B0" w:rsidRPr="002E0771" w:rsidRDefault="008553B0" w:rsidP="00F320B0">
            <w:pPr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snapToGrid/>
                <w:sz w:val="18"/>
              </w:rPr>
              <w:t>Skin Sens.1B; H317</w:t>
            </w:r>
          </w:p>
          <w:p w14:paraId="2D4DE4F0" w14:textId="77777777" w:rsidR="00760252" w:rsidRPr="002E0771" w:rsidRDefault="00760252" w:rsidP="00F320B0">
            <w:pPr>
              <w:ind w:left="567"/>
              <w:rPr>
                <w:rFonts w:cs="Arial"/>
                <w:b/>
                <w:bCs/>
                <w:snapToGrid/>
                <w:sz w:val="18"/>
              </w:rPr>
            </w:pPr>
          </w:p>
          <w:p w14:paraId="20549EA9" w14:textId="77777777" w:rsidR="00997878" w:rsidRPr="002E0771" w:rsidRDefault="00997878" w:rsidP="00997878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Címkézési elemek</w:t>
            </w:r>
          </w:p>
          <w:p w14:paraId="69577A35" w14:textId="77777777" w:rsidR="00997878" w:rsidRPr="002E0771" w:rsidRDefault="00997878" w:rsidP="00997878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  <w:r w:rsidRPr="002E0771">
              <w:rPr>
                <w:snapToGrid/>
                <w:sz w:val="18"/>
                <w:u w:val="single"/>
              </w:rPr>
              <w:t>Besorolása az 1272/2008/EK rendelet (CLP) szerint</w:t>
            </w:r>
          </w:p>
          <w:p w14:paraId="5BF821AA" w14:textId="77777777" w:rsidR="00946ECF" w:rsidRPr="002E0771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</w:p>
          <w:p w14:paraId="59304B80" w14:textId="77777777" w:rsidR="00946ECF" w:rsidRPr="002E0771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  <w:r w:rsidRPr="002E0771">
              <w:rPr>
                <w:noProof/>
                <w:lang w:val="pl-PL" w:eastAsia="pl-PL" w:bidi="ar-SA"/>
              </w:rPr>
              <w:drawing>
                <wp:inline distT="0" distB="0" distL="0" distR="0" wp14:anchorId="7AC3691F" wp14:editId="35A4B87B">
                  <wp:extent cx="908262" cy="907422"/>
                  <wp:effectExtent l="0" t="0" r="6350" b="6985"/>
                  <wp:docPr id="7" name="Obraz 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12" cy="90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771">
              <w:rPr>
                <w:noProof/>
                <w:snapToGrid/>
                <w:lang w:val="pl-PL" w:eastAsia="pl-PL" w:bidi="ar-SA"/>
              </w:rPr>
              <w:drawing>
                <wp:inline distT="0" distB="0" distL="0" distR="0" wp14:anchorId="0B462805" wp14:editId="1D79F96C">
                  <wp:extent cx="885825" cy="91746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70" cy="92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771">
              <w:rPr>
                <w:rFonts w:cs="Arial"/>
                <w:bCs/>
                <w:noProof/>
                <w:snapToGrid/>
                <w:sz w:val="18"/>
                <w:lang w:val="pl-PL" w:eastAsia="pl-PL" w:bidi="ar-SA"/>
              </w:rPr>
              <w:drawing>
                <wp:inline distT="0" distB="0" distL="0" distR="0" wp14:anchorId="6B626126" wp14:editId="3835E27F">
                  <wp:extent cx="866775" cy="89795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74" cy="90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D580D" w14:textId="77777777" w:rsidR="00997878" w:rsidRPr="002E0771" w:rsidRDefault="00997878" w:rsidP="00997878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noProof/>
                <w:snapToGrid/>
                <w:sz w:val="18"/>
              </w:rPr>
              <w:t>Figyelem</w:t>
            </w:r>
          </w:p>
          <w:p w14:paraId="5CB7A970" w14:textId="77777777" w:rsidR="00946ECF" w:rsidRPr="002E0771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</w:p>
          <w:p w14:paraId="0CEC08CE" w14:textId="77777777" w:rsidR="00997878" w:rsidRPr="002E0771" w:rsidRDefault="00997878" w:rsidP="00997878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Veszélyességre utaló mondatok (H mondatok):</w:t>
            </w:r>
          </w:p>
          <w:p w14:paraId="561A7584" w14:textId="77777777" w:rsidR="00946ECF" w:rsidRPr="002E0771" w:rsidRDefault="008553B0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 xml:space="preserve">H410 </w:t>
            </w:r>
            <w:proofErr w:type="gramStart"/>
            <w:r w:rsidRPr="002E0771">
              <w:rPr>
                <w:b/>
                <w:snapToGrid/>
                <w:sz w:val="18"/>
              </w:rPr>
              <w:t xml:space="preserve">– </w:t>
            </w:r>
            <w:r w:rsidRPr="002E0771">
              <w:rPr>
                <w:snapToGrid/>
                <w:sz w:val="18"/>
              </w:rPr>
              <w:t xml:space="preserve"> Nagyon</w:t>
            </w:r>
            <w:proofErr w:type="gramEnd"/>
            <w:r w:rsidRPr="002E0771">
              <w:rPr>
                <w:snapToGrid/>
                <w:sz w:val="18"/>
              </w:rPr>
              <w:t xml:space="preserve"> mérgező a vízi élővilágra, hosszan tartó károsodást okoz.</w:t>
            </w:r>
          </w:p>
          <w:p w14:paraId="501B2903" w14:textId="77777777" w:rsidR="00946ECF" w:rsidRPr="002E0771" w:rsidRDefault="00661729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 xml:space="preserve">H302 </w:t>
            </w:r>
            <w:proofErr w:type="gramStart"/>
            <w:r w:rsidRPr="002E0771">
              <w:rPr>
                <w:b/>
                <w:snapToGrid/>
                <w:sz w:val="18"/>
              </w:rPr>
              <w:t xml:space="preserve">– </w:t>
            </w:r>
            <w:r w:rsidRPr="002E0771">
              <w:t xml:space="preserve"> </w:t>
            </w:r>
            <w:r w:rsidRPr="002E0771">
              <w:rPr>
                <w:snapToGrid/>
                <w:sz w:val="18"/>
              </w:rPr>
              <w:t>Lenyelve</w:t>
            </w:r>
            <w:proofErr w:type="gramEnd"/>
            <w:r w:rsidRPr="002E0771">
              <w:rPr>
                <w:snapToGrid/>
                <w:sz w:val="18"/>
              </w:rPr>
              <w:t xml:space="preserve"> ártalmas.</w:t>
            </w:r>
          </w:p>
          <w:p w14:paraId="3D012CAF" w14:textId="77777777" w:rsidR="008553B0" w:rsidRPr="002E0771" w:rsidRDefault="008553B0" w:rsidP="005F4AA6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 xml:space="preserve">H317 </w:t>
            </w:r>
            <w:proofErr w:type="gramStart"/>
            <w:r w:rsidRPr="002E0771">
              <w:rPr>
                <w:b/>
                <w:snapToGrid/>
                <w:sz w:val="18"/>
              </w:rPr>
              <w:t xml:space="preserve">– </w:t>
            </w:r>
            <w:r w:rsidRPr="002E0771">
              <w:t xml:space="preserve"> </w:t>
            </w:r>
            <w:r w:rsidRPr="002E0771">
              <w:rPr>
                <w:snapToGrid/>
                <w:sz w:val="18"/>
              </w:rPr>
              <w:t>Allergiás</w:t>
            </w:r>
            <w:proofErr w:type="gramEnd"/>
            <w:r w:rsidRPr="002E0771">
              <w:rPr>
                <w:snapToGrid/>
                <w:sz w:val="18"/>
              </w:rPr>
              <w:t xml:space="preserve"> bőrreakciót válthat ki.</w:t>
            </w:r>
          </w:p>
          <w:p w14:paraId="711C122F" w14:textId="77777777" w:rsidR="008553B0" w:rsidRPr="002E0771" w:rsidRDefault="008553B0" w:rsidP="008553B0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 xml:space="preserve">H373 </w:t>
            </w:r>
            <w:proofErr w:type="gramStart"/>
            <w:r w:rsidRPr="002E0771">
              <w:rPr>
                <w:b/>
                <w:snapToGrid/>
                <w:sz w:val="18"/>
              </w:rPr>
              <w:t xml:space="preserve">– </w:t>
            </w:r>
            <w:r w:rsidRPr="002E0771">
              <w:t xml:space="preserve"> </w:t>
            </w:r>
            <w:r w:rsidRPr="002E0771">
              <w:rPr>
                <w:snapToGrid/>
                <w:sz w:val="18"/>
              </w:rPr>
              <w:t>Ismétlődő</w:t>
            </w:r>
            <w:proofErr w:type="gramEnd"/>
            <w:r w:rsidRPr="002E0771">
              <w:rPr>
                <w:snapToGrid/>
                <w:sz w:val="18"/>
              </w:rPr>
              <w:t xml:space="preserve"> vagy hosszabb expozíció esetén</w:t>
            </w:r>
            <w:r w:rsidRPr="002E0771">
              <w:t xml:space="preserve"> </w:t>
            </w:r>
            <w:r w:rsidRPr="002E0771">
              <w:rPr>
                <w:snapToGrid/>
                <w:sz w:val="18"/>
              </w:rPr>
              <w:t xml:space="preserve">károsíthatja a </w:t>
            </w:r>
            <w:r w:rsidR="009E37E0">
              <w:t xml:space="preserve"> </w:t>
            </w:r>
            <w:r w:rsidR="009E37E0" w:rsidRPr="009E37E0">
              <w:rPr>
                <w:snapToGrid/>
                <w:sz w:val="18"/>
              </w:rPr>
              <w:t>szerveket</w:t>
            </w:r>
            <w:r w:rsidR="009E37E0">
              <w:rPr>
                <w:snapToGrid/>
                <w:sz w:val="18"/>
              </w:rPr>
              <w:t xml:space="preserve"> </w:t>
            </w:r>
            <w:r w:rsidR="009E37E0" w:rsidRPr="009E37E0">
              <w:rPr>
                <w:snapToGrid/>
                <w:sz w:val="18"/>
              </w:rPr>
              <w:t>(idegrendszer).</w:t>
            </w:r>
          </w:p>
          <w:p w14:paraId="5CF28265" w14:textId="77777777" w:rsidR="00946ECF" w:rsidRPr="002E0771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</w:p>
          <w:p w14:paraId="5E813721" w14:textId="77777777" w:rsidR="00997878" w:rsidRPr="002E0771" w:rsidRDefault="00997878" w:rsidP="00997878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Az óvatossági intézkedésekre utaló mondatok (P mondatok):</w:t>
            </w:r>
          </w:p>
          <w:p w14:paraId="1E2CD00C" w14:textId="77777777" w:rsidR="009E37E0" w:rsidRPr="009E37E0" w:rsidRDefault="009E37E0" w:rsidP="009E37E0">
            <w:pPr>
              <w:tabs>
                <w:tab w:val="left" w:pos="8340"/>
              </w:tabs>
              <w:ind w:left="567"/>
              <w:rPr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 xml:space="preserve">P280 </w:t>
            </w:r>
            <w:r>
              <w:rPr>
                <w:b/>
                <w:snapToGrid/>
                <w:sz w:val="18"/>
              </w:rPr>
              <w:t xml:space="preserve">- </w:t>
            </w:r>
            <w:r w:rsidRPr="009E37E0">
              <w:rPr>
                <w:snapToGrid/>
                <w:sz w:val="18"/>
              </w:rPr>
              <w:t>Védőkesztyű, védőruha, szemvédő/arcvédő használata kötelező.</w:t>
            </w:r>
          </w:p>
          <w:p w14:paraId="383614C8" w14:textId="77777777" w:rsidR="009E37E0" w:rsidRPr="009E37E0" w:rsidRDefault="009E37E0" w:rsidP="009E37E0">
            <w:pPr>
              <w:tabs>
                <w:tab w:val="left" w:pos="8340"/>
              </w:tabs>
              <w:ind w:left="567"/>
              <w:rPr>
                <w:b/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 xml:space="preserve">P301+P312 </w:t>
            </w:r>
            <w:r>
              <w:rPr>
                <w:b/>
                <w:snapToGrid/>
                <w:sz w:val="18"/>
              </w:rPr>
              <w:t xml:space="preserve">- </w:t>
            </w:r>
            <w:r w:rsidRPr="009E37E0">
              <w:rPr>
                <w:snapToGrid/>
                <w:sz w:val="18"/>
              </w:rPr>
              <w:t xml:space="preserve">LENYELÉS ESETÉN: rosszullét esetén azonnal </w:t>
            </w:r>
            <w:proofErr w:type="gramStart"/>
            <w:r w:rsidRPr="009E37E0">
              <w:rPr>
                <w:snapToGrid/>
                <w:sz w:val="18"/>
              </w:rPr>
              <w:t>forduljon  orvoshoz</w:t>
            </w:r>
            <w:proofErr w:type="gramEnd"/>
            <w:r w:rsidRPr="009E37E0">
              <w:rPr>
                <w:snapToGrid/>
                <w:sz w:val="18"/>
              </w:rPr>
              <w:t>.</w:t>
            </w:r>
          </w:p>
          <w:p w14:paraId="0DC80DE2" w14:textId="77777777" w:rsidR="009E37E0" w:rsidRPr="009E37E0" w:rsidRDefault="009E37E0" w:rsidP="009E37E0">
            <w:pPr>
              <w:tabs>
                <w:tab w:val="left" w:pos="8340"/>
              </w:tabs>
              <w:ind w:left="567"/>
              <w:rPr>
                <w:b/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 xml:space="preserve">P302 + P352 </w:t>
            </w:r>
            <w:r>
              <w:rPr>
                <w:b/>
                <w:snapToGrid/>
                <w:sz w:val="18"/>
              </w:rPr>
              <w:t xml:space="preserve">- </w:t>
            </w:r>
            <w:r w:rsidRPr="009E37E0">
              <w:rPr>
                <w:snapToGrid/>
                <w:sz w:val="18"/>
              </w:rPr>
              <w:t>HA BŐRRE KERÜL: Lemosás bő vízzel.</w:t>
            </w:r>
          </w:p>
          <w:p w14:paraId="4EC946AE" w14:textId="77777777" w:rsidR="009E37E0" w:rsidRPr="009E37E0" w:rsidRDefault="009E37E0" w:rsidP="009E37E0">
            <w:pPr>
              <w:tabs>
                <w:tab w:val="left" w:pos="8340"/>
              </w:tabs>
              <w:ind w:left="567"/>
              <w:rPr>
                <w:b/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 xml:space="preserve">P333 + P313 </w:t>
            </w:r>
            <w:r>
              <w:rPr>
                <w:b/>
                <w:snapToGrid/>
                <w:sz w:val="18"/>
              </w:rPr>
              <w:t xml:space="preserve">- </w:t>
            </w:r>
            <w:r w:rsidRPr="009E37E0">
              <w:rPr>
                <w:snapToGrid/>
                <w:sz w:val="18"/>
              </w:rPr>
              <w:t>Bőrirritáció vagy kiütések megjelenése esetén: orvosi ellátást kell kérni.</w:t>
            </w:r>
          </w:p>
          <w:p w14:paraId="1AA9682A" w14:textId="77777777" w:rsidR="009E37E0" w:rsidRPr="009E37E0" w:rsidRDefault="009E37E0" w:rsidP="009E37E0">
            <w:pPr>
              <w:tabs>
                <w:tab w:val="left" w:pos="8340"/>
              </w:tabs>
              <w:ind w:left="567"/>
              <w:rPr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 xml:space="preserve">P391 </w:t>
            </w:r>
            <w:r>
              <w:rPr>
                <w:b/>
                <w:snapToGrid/>
                <w:sz w:val="18"/>
              </w:rPr>
              <w:t xml:space="preserve">- </w:t>
            </w:r>
            <w:r w:rsidRPr="009E37E0">
              <w:rPr>
                <w:snapToGrid/>
                <w:sz w:val="18"/>
              </w:rPr>
              <w:t>A kiömlött anyagot össze kell gyűjteni.</w:t>
            </w:r>
          </w:p>
          <w:p w14:paraId="700DDCC3" w14:textId="77777777" w:rsidR="0046311B" w:rsidRDefault="009E37E0" w:rsidP="009E37E0">
            <w:pPr>
              <w:tabs>
                <w:tab w:val="left" w:pos="8340"/>
              </w:tabs>
              <w:ind w:left="567"/>
              <w:rPr>
                <w:snapToGrid/>
                <w:sz w:val="18"/>
              </w:rPr>
            </w:pPr>
            <w:r w:rsidRPr="009E37E0">
              <w:rPr>
                <w:b/>
                <w:snapToGrid/>
                <w:sz w:val="18"/>
              </w:rPr>
              <w:t>P501</w:t>
            </w:r>
            <w:r>
              <w:rPr>
                <w:b/>
                <w:snapToGrid/>
                <w:sz w:val="18"/>
              </w:rPr>
              <w:t xml:space="preserve"> -</w:t>
            </w:r>
            <w:r w:rsidRPr="009E37E0">
              <w:rPr>
                <w:b/>
                <w:snapToGrid/>
                <w:sz w:val="18"/>
              </w:rPr>
              <w:t xml:space="preserve"> </w:t>
            </w:r>
            <w:r w:rsidRPr="009E37E0">
              <w:rPr>
                <w:snapToGrid/>
                <w:sz w:val="18"/>
              </w:rPr>
              <w:t>A tartalom/edény elhelyezése hulladékként: veszélyes hulladéklerakóba szállítás szükséges</w:t>
            </w:r>
            <w:r>
              <w:rPr>
                <w:snapToGrid/>
                <w:sz w:val="18"/>
              </w:rPr>
              <w:t>.</w:t>
            </w:r>
          </w:p>
          <w:p w14:paraId="5EDB05F2" w14:textId="77777777" w:rsidR="009E37E0" w:rsidRPr="002E0771" w:rsidRDefault="009E37E0" w:rsidP="009E37E0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</w:p>
          <w:p w14:paraId="137FFE57" w14:textId="77777777" w:rsidR="005E481C" w:rsidRDefault="005E481C" w:rsidP="005F4AA6">
            <w:pPr>
              <w:tabs>
                <w:tab w:val="left" w:pos="8340"/>
              </w:tabs>
              <w:ind w:left="567"/>
              <w:rPr>
                <w:snapToGrid/>
                <w:sz w:val="18"/>
              </w:rPr>
            </w:pPr>
            <w:r w:rsidRPr="002E0771">
              <w:rPr>
                <w:b/>
                <w:snapToGrid/>
                <w:sz w:val="18"/>
              </w:rPr>
              <w:t>EUH 401</w:t>
            </w:r>
            <w:r w:rsidRPr="002E0771">
              <w:rPr>
                <w:snapToGrid/>
                <w:sz w:val="18"/>
              </w:rPr>
              <w:t xml:space="preserve"> –  </w:t>
            </w:r>
            <w:r w:rsidRPr="002E0771">
              <w:t xml:space="preserve"> </w:t>
            </w:r>
            <w:r w:rsidRPr="002E0771">
              <w:rPr>
                <w:snapToGrid/>
                <w:sz w:val="18"/>
              </w:rPr>
              <w:t>Az emberi egészség és a környezet veszélyeztetésének elkerülése érdekében be kell tartani ahasználati utasítás előírásait.</w:t>
            </w:r>
          </w:p>
          <w:p w14:paraId="304D18E3" w14:textId="77777777" w:rsidR="009E37E0" w:rsidRPr="002E0771" w:rsidRDefault="009E37E0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9E37E0">
              <w:rPr>
                <w:rFonts w:cs="Arial"/>
                <w:b/>
                <w:bCs/>
                <w:snapToGrid/>
                <w:sz w:val="18"/>
              </w:rPr>
              <w:t>EUH208</w:t>
            </w:r>
            <w:r w:rsidRPr="009E37E0">
              <w:rPr>
                <w:rFonts w:cs="Arial"/>
                <w:bCs/>
                <w:snapToGrid/>
                <w:sz w:val="18"/>
              </w:rPr>
              <w:t xml:space="preserve"> 1,2-benzizotiazol-3-on-t tartalmaz. Allergiás reakciót válthat ki.</w:t>
            </w:r>
          </w:p>
          <w:p w14:paraId="18C088AB" w14:textId="77777777" w:rsidR="00997878" w:rsidRPr="002E0771" w:rsidRDefault="00997878" w:rsidP="00997878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b/>
                <w:sz w:val="18"/>
              </w:rPr>
            </w:pPr>
            <w:r w:rsidRPr="002E0771">
              <w:rPr>
                <w:b/>
                <w:sz w:val="18"/>
              </w:rPr>
              <w:lastRenderedPageBreak/>
              <w:t>Egyéb veszélyek</w:t>
            </w:r>
          </w:p>
          <w:p w14:paraId="2D47D78C" w14:textId="77777777" w:rsidR="00D12377" w:rsidRPr="002E0771" w:rsidRDefault="00997878" w:rsidP="00997878">
            <w:pPr>
              <w:ind w:left="567"/>
              <w:rPr>
                <w:sz w:val="18"/>
              </w:rPr>
            </w:pPr>
            <w:r w:rsidRPr="002E0771">
              <w:rPr>
                <w:sz w:val="18"/>
              </w:rPr>
              <w:t>Egyéb veszélyek nem kerültek megállapításra.</w:t>
            </w:r>
          </w:p>
        </w:tc>
      </w:tr>
    </w:tbl>
    <w:p w14:paraId="79661638" w14:textId="77777777" w:rsidR="00F3701C" w:rsidRPr="002E0771" w:rsidRDefault="00F3701C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3458D252" w14:textId="77777777" w:rsidTr="00F3701C">
        <w:trPr>
          <w:trHeight w:val="458"/>
        </w:trPr>
        <w:tc>
          <w:tcPr>
            <w:tcW w:w="10490" w:type="dxa"/>
          </w:tcPr>
          <w:p w14:paraId="5C6F4938" w14:textId="77777777" w:rsidR="00D12377" w:rsidRPr="002E0771" w:rsidRDefault="00997878" w:rsidP="00F3701C">
            <w:pPr>
              <w:pStyle w:val="CWHead"/>
              <w:keepNext/>
              <w:widowControl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3. SZAKASZ ÖSSZETÉTEL / ADATOK AZ ALKOTÓRÉSZEKKEL KAPCSOLATBAN</w:t>
            </w:r>
          </w:p>
        </w:tc>
      </w:tr>
      <w:tr w:rsidR="002E0771" w:rsidRPr="002E0771" w14:paraId="77A20A01" w14:textId="77777777" w:rsidTr="00CB076F">
        <w:trPr>
          <w:trHeight w:val="80"/>
        </w:trPr>
        <w:tc>
          <w:tcPr>
            <w:tcW w:w="10490" w:type="dxa"/>
          </w:tcPr>
          <w:p w14:paraId="4E89599F" w14:textId="77777777" w:rsidR="00997878" w:rsidRPr="002E0771" w:rsidRDefault="00997878" w:rsidP="00997878">
            <w:pPr>
              <w:widowControl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ind w:left="601" w:hanging="567"/>
              <w:outlineLvl w:val="4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>Keverék</w:t>
            </w:r>
          </w:p>
          <w:p w14:paraId="06400DB2" w14:textId="77777777" w:rsidR="0023737B" w:rsidRPr="002E0771" w:rsidRDefault="00997878" w:rsidP="003B1CB7">
            <w:pPr>
              <w:spacing w:after="60"/>
              <w:rPr>
                <w:sz w:val="18"/>
              </w:rPr>
            </w:pPr>
            <w:r w:rsidRPr="002E0771">
              <w:rPr>
                <w:sz w:val="18"/>
              </w:rPr>
              <w:t>Az egészségre vagy a környezetre veszélyes összetevők:</w:t>
            </w:r>
          </w:p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1417"/>
              <w:gridCol w:w="1205"/>
              <w:gridCol w:w="1381"/>
              <w:gridCol w:w="1559"/>
              <w:gridCol w:w="2552"/>
            </w:tblGrid>
            <w:tr w:rsidR="002E0771" w:rsidRPr="002E0771" w14:paraId="01BD315C" w14:textId="77777777" w:rsidTr="0005027E">
              <w:trPr>
                <w:trHeight w:val="431"/>
              </w:trPr>
              <w:tc>
                <w:tcPr>
                  <w:tcW w:w="2014" w:type="dxa"/>
                </w:tcPr>
                <w:p w14:paraId="625A0C7A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Kémiai megnevezés</w:t>
                  </w:r>
                </w:p>
                <w:p w14:paraId="339D819B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81F69E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Index #</w:t>
                  </w:r>
                </w:p>
              </w:tc>
              <w:tc>
                <w:tcPr>
                  <w:tcW w:w="1205" w:type="dxa"/>
                </w:tcPr>
                <w:p w14:paraId="60DEE709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CAS szám</w:t>
                  </w:r>
                </w:p>
              </w:tc>
              <w:tc>
                <w:tcPr>
                  <w:tcW w:w="1381" w:type="dxa"/>
                </w:tcPr>
                <w:p w14:paraId="625223BA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EK szám</w:t>
                  </w:r>
                </w:p>
              </w:tc>
              <w:tc>
                <w:tcPr>
                  <w:tcW w:w="1559" w:type="dxa"/>
                </w:tcPr>
                <w:p w14:paraId="04318026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Tartalom</w:t>
                  </w:r>
                  <w:r w:rsidRPr="002E0771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2E0771">
                    <w:rPr>
                      <w:sz w:val="18"/>
                    </w:rPr>
                    <w:t>[tömeg%]</w:t>
                  </w:r>
                </w:p>
              </w:tc>
              <w:tc>
                <w:tcPr>
                  <w:tcW w:w="2552" w:type="dxa"/>
                </w:tcPr>
                <w:p w14:paraId="7A0DE2A8" w14:textId="77777777" w:rsidR="00997878" w:rsidRPr="002E0771" w:rsidRDefault="00997878" w:rsidP="009978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CLP szerinti besorolás</w:t>
                  </w:r>
                </w:p>
              </w:tc>
            </w:tr>
            <w:tr w:rsidR="002E0771" w:rsidRPr="002E0771" w14:paraId="4111E06A" w14:textId="77777777" w:rsidTr="0005027E">
              <w:trPr>
                <w:trHeight w:val="431"/>
              </w:trPr>
              <w:tc>
                <w:tcPr>
                  <w:tcW w:w="201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32"/>
                  </w:tblGrid>
                  <w:tr w:rsidR="002E0771" w:rsidRPr="002E0771" w14:paraId="504DBB6F" w14:textId="77777777">
                    <w:trPr>
                      <w:trHeight w:val="93"/>
                    </w:trPr>
                    <w:tc>
                      <w:tcPr>
                        <w:tcW w:w="1632" w:type="dxa"/>
                      </w:tcPr>
                      <w:p w14:paraId="521B404E" w14:textId="77777777" w:rsidR="008553B0" w:rsidRPr="002E0771" w:rsidRDefault="008553B0" w:rsidP="00AF7C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E0771">
                          <w:rPr>
                            <w:sz w:val="16"/>
                          </w:rPr>
                          <w:t>Flufenacet</w:t>
                        </w:r>
                      </w:p>
                      <w:p w14:paraId="7A7EDEC8" w14:textId="77777777" w:rsidR="008553B0" w:rsidRPr="002E0771" w:rsidRDefault="008553B0" w:rsidP="008553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E0771">
                          <w:rPr>
                            <w:sz w:val="16"/>
                          </w:rPr>
                          <w:t>N-(4-</w:t>
                        </w:r>
                        <w:proofErr w:type="gramStart"/>
                        <w:r w:rsidRPr="002E0771">
                          <w:rPr>
                            <w:sz w:val="16"/>
                          </w:rPr>
                          <w:t>Fluorofenil)-</w:t>
                        </w:r>
                        <w:proofErr w:type="gramEnd"/>
                        <w:r w:rsidRPr="002E0771">
                          <w:rPr>
                            <w:sz w:val="16"/>
                          </w:rPr>
                          <w:t>N-isopropil-2-[5-(trifluorometil)-1,3,4-thiadiazol-2-</w:t>
                        </w:r>
                      </w:p>
                      <w:p w14:paraId="70358575" w14:textId="77777777" w:rsidR="008553B0" w:rsidRPr="002E0771" w:rsidRDefault="008553B0" w:rsidP="008553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proofErr w:type="gramStart"/>
                        <w:r w:rsidRPr="002E0771">
                          <w:rPr>
                            <w:sz w:val="16"/>
                          </w:rPr>
                          <w:t>yloxy]acetamide</w:t>
                        </w:r>
                        <w:proofErr w:type="gramEnd"/>
                      </w:p>
                    </w:tc>
                  </w:tr>
                </w:tbl>
                <w:p w14:paraId="511C7ABF" w14:textId="77777777" w:rsidR="008553B0" w:rsidRPr="002E0771" w:rsidRDefault="008553B0" w:rsidP="00947DA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4C9DE108" w14:textId="77777777" w:rsidR="008553B0" w:rsidRPr="002E0771" w:rsidRDefault="008553B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E0771">
                    <w:rPr>
                      <w:sz w:val="16"/>
                    </w:rPr>
                    <w:t>613-164-00-9</w:t>
                  </w:r>
                </w:p>
              </w:tc>
              <w:tc>
                <w:tcPr>
                  <w:tcW w:w="1205" w:type="dxa"/>
                </w:tcPr>
                <w:p w14:paraId="5FCEBC1B" w14:textId="77777777" w:rsidR="008553B0" w:rsidRPr="002E0771" w:rsidRDefault="008553B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E0771">
                    <w:rPr>
                      <w:sz w:val="16"/>
                    </w:rPr>
                    <w:t>142459-58-3</w:t>
                  </w:r>
                </w:p>
              </w:tc>
              <w:tc>
                <w:tcPr>
                  <w:tcW w:w="1381" w:type="dxa"/>
                </w:tcPr>
                <w:p w14:paraId="19134D99" w14:textId="77777777" w:rsidR="008553B0" w:rsidRPr="002E0771" w:rsidRDefault="008553B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E0771">
                    <w:rPr>
                      <w:sz w:val="16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494AEBE" w14:textId="77777777" w:rsidR="008553B0" w:rsidRPr="002E0771" w:rsidRDefault="000476C7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2E0771">
                    <w:rPr>
                      <w:sz w:val="16"/>
                    </w:rPr>
                    <w:t>50 %</w:t>
                  </w:r>
                </w:p>
              </w:tc>
              <w:tc>
                <w:tcPr>
                  <w:tcW w:w="2552" w:type="dxa"/>
                </w:tcPr>
                <w:p w14:paraId="27005F6E" w14:textId="77777777" w:rsidR="0005027E" w:rsidRPr="002E0771" w:rsidRDefault="0005027E" w:rsidP="00050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Aquatic Chronic 1; H410</w:t>
                  </w:r>
                </w:p>
                <w:p w14:paraId="5459BF79" w14:textId="77777777" w:rsidR="0005027E" w:rsidRPr="002E0771" w:rsidRDefault="0005027E" w:rsidP="00050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2E0771">
                    <w:rPr>
                      <w:sz w:val="18"/>
                    </w:rPr>
                    <w:t>Aquatic  Acute</w:t>
                  </w:r>
                  <w:proofErr w:type="gramEnd"/>
                  <w:r w:rsidRPr="002E0771">
                    <w:rPr>
                      <w:sz w:val="18"/>
                    </w:rPr>
                    <w:t xml:space="preserve"> 1; H400</w:t>
                  </w:r>
                </w:p>
                <w:p w14:paraId="12136DDC" w14:textId="77777777" w:rsidR="0005027E" w:rsidRPr="002E0771" w:rsidRDefault="0005027E" w:rsidP="00050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Acute Tox.4; H302</w:t>
                  </w:r>
                </w:p>
                <w:p w14:paraId="0E6A4FCA" w14:textId="77777777" w:rsidR="0005027E" w:rsidRPr="002E0771" w:rsidRDefault="0005027E" w:rsidP="00050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STOT RE 2; H373</w:t>
                  </w:r>
                </w:p>
                <w:p w14:paraId="1F83BB12" w14:textId="77777777" w:rsidR="0005027E" w:rsidRPr="002E0771" w:rsidRDefault="0005027E" w:rsidP="000502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E0771">
                    <w:rPr>
                      <w:sz w:val="18"/>
                    </w:rPr>
                    <w:t>Skin Sens.1; H317</w:t>
                  </w:r>
                </w:p>
                <w:p w14:paraId="1BAC6E58" w14:textId="77777777" w:rsidR="008553B0" w:rsidRPr="002E0771" w:rsidRDefault="008553B0" w:rsidP="00B01A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9E37E0" w:rsidRPr="002E0771" w14:paraId="5C57BD67" w14:textId="77777777" w:rsidTr="0005027E">
              <w:trPr>
                <w:trHeight w:val="431"/>
              </w:trPr>
              <w:tc>
                <w:tcPr>
                  <w:tcW w:w="2014" w:type="dxa"/>
                </w:tcPr>
                <w:p w14:paraId="65DB100E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</w:rPr>
                  </w:pPr>
                  <w:r w:rsidRPr="009E37E0">
                    <w:rPr>
                      <w:sz w:val="16"/>
                    </w:rPr>
                    <w:t>Sulfonated</w:t>
                  </w:r>
                </w:p>
                <w:p w14:paraId="2003E937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</w:rPr>
                  </w:pPr>
                  <w:r w:rsidRPr="009E37E0">
                    <w:rPr>
                      <w:sz w:val="16"/>
                    </w:rPr>
                    <w:t>aromatic polymer, salt</w:t>
                  </w:r>
                </w:p>
                <w:p w14:paraId="5116ADAF" w14:textId="77777777" w:rsidR="009E37E0" w:rsidRPr="002E0771" w:rsidRDefault="009E37E0" w:rsidP="009E37E0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</w:rPr>
                  </w:pPr>
                  <w:r w:rsidRPr="009E37E0">
                    <w:rPr>
                      <w:sz w:val="16"/>
                    </w:rPr>
                    <w:t>soda</w:t>
                  </w:r>
                </w:p>
              </w:tc>
              <w:tc>
                <w:tcPr>
                  <w:tcW w:w="1417" w:type="dxa"/>
                </w:tcPr>
                <w:p w14:paraId="6E11F015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-</w:t>
                  </w:r>
                </w:p>
              </w:tc>
              <w:tc>
                <w:tcPr>
                  <w:tcW w:w="1205" w:type="dxa"/>
                </w:tcPr>
                <w:p w14:paraId="413449D8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57773-56-9</w:t>
                  </w:r>
                </w:p>
              </w:tc>
              <w:tc>
                <w:tcPr>
                  <w:tcW w:w="1381" w:type="dxa"/>
                </w:tcPr>
                <w:p w14:paraId="0E01B2D2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235E379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2-3</w:t>
                  </w:r>
                </w:p>
              </w:tc>
              <w:tc>
                <w:tcPr>
                  <w:tcW w:w="2552" w:type="dxa"/>
                </w:tcPr>
                <w:p w14:paraId="18649A36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Skin Irrit. 2; H315</w:t>
                  </w:r>
                </w:p>
                <w:p w14:paraId="667CC9D4" w14:textId="77777777" w:rsidR="009E37E0" w:rsidRPr="002E0771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Eye Irrit. 2; H319</w:t>
                  </w:r>
                </w:p>
              </w:tc>
            </w:tr>
            <w:tr w:rsidR="009E37E0" w:rsidRPr="002E0771" w14:paraId="02685B6A" w14:textId="77777777" w:rsidTr="0005027E">
              <w:trPr>
                <w:trHeight w:val="431"/>
              </w:trPr>
              <w:tc>
                <w:tcPr>
                  <w:tcW w:w="2014" w:type="dxa"/>
                </w:tcPr>
                <w:p w14:paraId="2D0A0E22" w14:textId="77777777" w:rsidR="009E37E0" w:rsidRPr="002E0771" w:rsidRDefault="009E37E0" w:rsidP="00AF7C0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</w:rPr>
                  </w:pPr>
                  <w:r w:rsidRPr="009E37E0">
                    <w:rPr>
                      <w:sz w:val="16"/>
                    </w:rPr>
                    <w:t>1,2-benzizotiazol-3-on-t</w:t>
                  </w:r>
                </w:p>
              </w:tc>
              <w:tc>
                <w:tcPr>
                  <w:tcW w:w="1417" w:type="dxa"/>
                </w:tcPr>
                <w:p w14:paraId="75CCEF89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613-088-00-6</w:t>
                  </w:r>
                </w:p>
              </w:tc>
              <w:tc>
                <w:tcPr>
                  <w:tcW w:w="1205" w:type="dxa"/>
                </w:tcPr>
                <w:p w14:paraId="520E5C05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2634-33-5</w:t>
                  </w:r>
                </w:p>
              </w:tc>
              <w:tc>
                <w:tcPr>
                  <w:tcW w:w="1381" w:type="dxa"/>
                </w:tcPr>
                <w:p w14:paraId="0BED1266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220-120-9</w:t>
                  </w:r>
                </w:p>
              </w:tc>
              <w:tc>
                <w:tcPr>
                  <w:tcW w:w="1559" w:type="dxa"/>
                </w:tcPr>
                <w:p w14:paraId="20E779B8" w14:textId="77777777" w:rsidR="009E37E0" w:rsidRPr="002E0771" w:rsidRDefault="009E37E0" w:rsidP="00947D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&lt;0,02 %</w:t>
                  </w:r>
                </w:p>
              </w:tc>
              <w:tc>
                <w:tcPr>
                  <w:tcW w:w="2552" w:type="dxa"/>
                </w:tcPr>
                <w:p w14:paraId="6B355731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Acute Tox. 4 H302</w:t>
                  </w:r>
                </w:p>
                <w:p w14:paraId="785EDA59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Skin Irrit. 2 H315</w:t>
                  </w:r>
                </w:p>
                <w:p w14:paraId="69EB89BB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Eye Dam. 1 H318</w:t>
                  </w:r>
                </w:p>
                <w:p w14:paraId="0C0FBF73" w14:textId="77777777" w:rsidR="009E37E0" w:rsidRPr="009E37E0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Skin Sens. 1 H317 (C≥5%)</w:t>
                  </w:r>
                </w:p>
                <w:p w14:paraId="53306390" w14:textId="77777777" w:rsidR="009E37E0" w:rsidRPr="002E0771" w:rsidRDefault="009E37E0" w:rsidP="009E37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 w:rsidRPr="009E37E0">
                    <w:rPr>
                      <w:sz w:val="18"/>
                    </w:rPr>
                    <w:t>Aquatic Acute 1 H400</w:t>
                  </w:r>
                </w:p>
              </w:tc>
            </w:tr>
          </w:tbl>
          <w:p w14:paraId="7887ABA6" w14:textId="77777777" w:rsidR="00D12377" w:rsidRPr="002E0771" w:rsidRDefault="00D12377" w:rsidP="00BB75FE">
            <w:pPr>
              <w:rPr>
                <w:sz w:val="18"/>
              </w:rPr>
            </w:pPr>
          </w:p>
          <w:p w14:paraId="07D0FDB7" w14:textId="77777777" w:rsidR="00D12377" w:rsidRPr="002E0771" w:rsidRDefault="00997878" w:rsidP="00BB75FE">
            <w:pPr>
              <w:rPr>
                <w:sz w:val="18"/>
              </w:rPr>
            </w:pPr>
            <w:r w:rsidRPr="002E0771">
              <w:rPr>
                <w:sz w:val="18"/>
              </w:rPr>
              <w:t>A H mondatok teljes kibontása a 16 szakaszban található.</w:t>
            </w:r>
          </w:p>
        </w:tc>
      </w:tr>
    </w:tbl>
    <w:p w14:paraId="1E66AEDE" w14:textId="77777777" w:rsidR="00D12377" w:rsidRPr="002E0771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4F723339" w14:textId="77777777" w:rsidTr="00F3701C">
        <w:tc>
          <w:tcPr>
            <w:tcW w:w="10490" w:type="dxa"/>
          </w:tcPr>
          <w:p w14:paraId="644F40B4" w14:textId="77777777" w:rsidR="00D12377" w:rsidRPr="002E0771" w:rsidRDefault="00997878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4. SZAKASZ ELSŐSEGÉLYNYÚJTÁS</w:t>
            </w:r>
          </w:p>
        </w:tc>
      </w:tr>
      <w:tr w:rsidR="002E0771" w:rsidRPr="002E0771" w14:paraId="3BBC15EC" w14:textId="77777777" w:rsidTr="00F3701C">
        <w:tc>
          <w:tcPr>
            <w:tcW w:w="10490" w:type="dxa"/>
          </w:tcPr>
          <w:p w14:paraId="6B23F8E2" w14:textId="77777777" w:rsidR="00697419" w:rsidRPr="002E0771" w:rsidRDefault="00D12377" w:rsidP="00697419">
            <w:pPr>
              <w:tabs>
                <w:tab w:val="left" w:pos="8820"/>
              </w:tabs>
              <w:spacing w:after="60"/>
              <w:ind w:left="601" w:hanging="567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4.1. </w:t>
            </w:r>
            <w:r w:rsidRPr="002E0771">
              <w:tab/>
            </w:r>
            <w:r w:rsidRPr="002E0771">
              <w:rPr>
                <w:b/>
                <w:sz w:val="18"/>
              </w:rPr>
              <w:t>Az elsősegélynyújtás módjainak leírása</w:t>
            </w:r>
          </w:p>
          <w:p w14:paraId="5E0FD482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Általános ajánlások:</w:t>
            </w:r>
          </w:p>
          <w:p w14:paraId="20587A56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Kerülni kell bőrre, szembe és ruhára jutását. A szennyezett ruhákat le kell venni, és ismételt használata előtt ki kell mosni. Baleset vagy rosszullét esetén azonnal orvoshoz kell fordulni. Ha lehetséges, a címkét meg kell mutatni.</w:t>
            </w:r>
          </w:p>
          <w:p w14:paraId="7D59F96C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0"/>
                <w:szCs w:val="10"/>
              </w:rPr>
            </w:pPr>
          </w:p>
          <w:p w14:paraId="7FC2AFAC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Teendők az alábbi esetekben:</w:t>
            </w:r>
          </w:p>
          <w:p w14:paraId="6ADA5B08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- belélegzés: az érintettet ki kell vezetni friss levegőre. Szükség esetén oxigént kell adni, vagy mesterséges lélegeztetést kell alkalmazni. Komolyabb mérgezés esetén orvoshoz kell fordulni. </w:t>
            </w:r>
          </w:p>
          <w:p w14:paraId="55E3445B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- bőrrel érintkezve: Bőrirritáció esetén: Orvosi ellátást kell kérni.</w:t>
            </w:r>
          </w:p>
          <w:p w14:paraId="0AC23A0B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- ha szembe kerül: a szemet azonnal át kell öblíteni nagy mennyiségű vízzel, közben a szemhéjakat szét kell húzni. Ha a szemirritáció nem múlik el: Orvosi ellátást kell kérni.</w:t>
            </w:r>
          </w:p>
          <w:p w14:paraId="58396973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- lenyelés: ne hánytasson orvosi támogatás nélkül. A szájat vízzel ki kell öblíteni. Ha a sérült eszméletlen, ne adjon be szájon át semmit.           </w:t>
            </w:r>
          </w:p>
          <w:p w14:paraId="2D8F361F" w14:textId="77777777" w:rsidR="00697419" w:rsidRPr="002E0771" w:rsidRDefault="00697419" w:rsidP="00697419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   Tüneti és fenntartó kezelést kell alkalmazni.</w:t>
            </w:r>
          </w:p>
          <w:p w14:paraId="6A1C18D4" w14:textId="77777777" w:rsidR="00697419" w:rsidRPr="002E0771" w:rsidRDefault="00697419" w:rsidP="00697419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   Szájba kerülés, lenyelés esetén az alábbi kezelések fontolandók meg: aktívszenes gyomormosás, és ha szükséges, további kezelések.</w:t>
            </w:r>
          </w:p>
          <w:p w14:paraId="52F1677D" w14:textId="77777777" w:rsidR="00697419" w:rsidRPr="002E0771" w:rsidRDefault="00697419" w:rsidP="00697419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>4.2. A legfontosabb – akut és késleltetett – tünetek és hatások</w:t>
            </w:r>
          </w:p>
          <w:p w14:paraId="121C0486" w14:textId="77777777" w:rsidR="001239C7" w:rsidRPr="002E0771" w:rsidRDefault="005125F0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</w:rPr>
            </w:pPr>
            <w:r w:rsidRPr="002E0771">
              <w:tab/>
            </w:r>
            <w:r w:rsidRPr="002E0771">
              <w:rPr>
                <w:sz w:val="18"/>
              </w:rPr>
              <w:t>A szer kiszárítja a bőrt és bőrpírt okoz. Kerülni kell, hogy a bőrre kerüljön.</w:t>
            </w:r>
          </w:p>
          <w:p w14:paraId="57E6418D" w14:textId="77777777" w:rsidR="00697419" w:rsidRPr="002E0771" w:rsidRDefault="0039196C" w:rsidP="00697419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4.3. </w:t>
            </w:r>
            <w:r w:rsidRPr="002E0771">
              <w:tab/>
            </w:r>
            <w:r w:rsidRPr="002E0771">
              <w:rPr>
                <w:b/>
                <w:sz w:val="18"/>
              </w:rPr>
              <w:t>A szükséges azonnali orvosi ellátás és különleges ellátás jelzése</w:t>
            </w:r>
          </w:p>
          <w:p w14:paraId="376D92E4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A kezelésről az orvos dönt a sérült állapotának felmérése után.</w:t>
            </w:r>
          </w:p>
          <w:p w14:paraId="01A91869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 w:rsidRPr="002E0771">
              <w:rPr>
                <w:sz w:val="18"/>
              </w:rPr>
              <w:t>Ellenszer: nincs.</w:t>
            </w:r>
          </w:p>
          <w:p w14:paraId="4F1A36FB" w14:textId="77777777" w:rsidR="00963276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Tüneti kezelést kell alkalmazni.</w:t>
            </w:r>
          </w:p>
        </w:tc>
      </w:tr>
    </w:tbl>
    <w:p w14:paraId="39A1E2C4" w14:textId="77777777" w:rsidR="00D12377" w:rsidRPr="002E0771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1CE1606D" w14:textId="77777777" w:rsidTr="00F3701C">
        <w:tc>
          <w:tcPr>
            <w:tcW w:w="10490" w:type="dxa"/>
          </w:tcPr>
          <w:p w14:paraId="12853F7D" w14:textId="77777777" w:rsidR="00D12377" w:rsidRPr="002E0771" w:rsidRDefault="00697419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5. SZAKASZ ELJÁRÁS TŰZ ESETÉN</w:t>
            </w:r>
          </w:p>
        </w:tc>
      </w:tr>
      <w:tr w:rsidR="002E0771" w:rsidRPr="002E0771" w14:paraId="4E185027" w14:textId="77777777" w:rsidTr="00F3701C">
        <w:tc>
          <w:tcPr>
            <w:tcW w:w="10490" w:type="dxa"/>
          </w:tcPr>
          <w:p w14:paraId="0D3CEA0D" w14:textId="77777777" w:rsidR="00697419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Általános ajánlások:</w:t>
            </w:r>
          </w:p>
          <w:p w14:paraId="74EBADE4" w14:textId="77777777" w:rsidR="00697419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</w:rPr>
            </w:pPr>
            <w:r w:rsidRPr="002E0771">
              <w:rPr>
                <w:sz w:val="18"/>
              </w:rPr>
              <w:t>Az illetéktelen, a tűz oltásában nem részt vevő személyeket el kell távolítani a veszélyeztetett területről. A gyújtóforrásokat el kell távolítani, dohányozni tilos. Szükség esetén ki kell hívni a tűzoltóságot.</w:t>
            </w:r>
            <w:r w:rsidRPr="002E0771">
              <w:t xml:space="preserve"> </w:t>
            </w:r>
            <w:r w:rsidRPr="002E0771">
              <w:rPr>
                <w:sz w:val="18"/>
              </w:rPr>
              <w:t>A tűz vagy robbanás során keletkező füstöt nem szabad belélegezni.</w:t>
            </w:r>
          </w:p>
          <w:p w14:paraId="107AF460" w14:textId="77777777" w:rsidR="00697419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5.1. Oltóanyag</w:t>
            </w:r>
          </w:p>
          <w:p w14:paraId="57FDB3C2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Alkalmazható tűzoltószerek: Alkoholálló hab vagy száraz oltóporok (A, B, C), széndioxid, homok vagy föld, vízköd. A környezeti adottságoknak megfelelő oltási módszerek alkalmazandók. </w:t>
            </w:r>
          </w:p>
          <w:p w14:paraId="3AE5EBC0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sz w:val="18"/>
              </w:rPr>
            </w:pPr>
            <w:r w:rsidRPr="002E0771">
              <w:rPr>
                <w:sz w:val="18"/>
              </w:rPr>
              <w:lastRenderedPageBreak/>
              <w:t>Alkalmatlan tűzoltószerek: Erős kötött vízsugár.</w:t>
            </w:r>
          </w:p>
          <w:p w14:paraId="2191E929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</w:p>
          <w:p w14:paraId="75AA9D83" w14:textId="77777777" w:rsidR="00697419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5.2. Az anyagból vagy a keverékből származó különleges veszélyek</w:t>
            </w:r>
          </w:p>
          <w:p w14:paraId="2D699FB4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A tűz során fellépő magas hőmérsékleten veszélyes bomlástermékek keletkeznek – pl. szénoxidok, nitrogénoxidok, klórvegyületek. </w:t>
            </w:r>
          </w:p>
          <w:p w14:paraId="482092A2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bCs/>
                <w:sz w:val="10"/>
                <w:szCs w:val="10"/>
              </w:rPr>
            </w:pPr>
          </w:p>
          <w:p w14:paraId="24A62D51" w14:textId="77777777" w:rsidR="00697419" w:rsidRPr="002E0771" w:rsidRDefault="00697419" w:rsidP="00697419">
            <w:pPr>
              <w:tabs>
                <w:tab w:val="left" w:pos="8820"/>
              </w:tabs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5.3. Tűzoltóknak szóló javaslat</w:t>
            </w:r>
          </w:p>
          <w:p w14:paraId="16253573" w14:textId="77777777" w:rsidR="00697419" w:rsidRPr="002E0771" w:rsidRDefault="00697419" w:rsidP="00697419">
            <w:pPr>
              <w:tabs>
                <w:tab w:val="left" w:pos="8820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14:paraId="2C803905" w14:textId="77777777" w:rsidR="00D12377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tűzzel érintett zónában található edényeket szórt vízsugárral hűteni kell, és amennyiben lehetséges, el kell őket távolítani a veszélyeztetett területről. Ha a tűz zárt helységben tör ki, védőöltözetet és sűrített levegős légzőkészüléket kell használni. Meg kell akadályozni az oltóvíz felszíni és talajvizekbe, csatornába kerülését. A tűz maradványait és az oltóvizet az előírások betartásával ártalmatlanítani kell.</w:t>
            </w:r>
          </w:p>
        </w:tc>
      </w:tr>
      <w:tr w:rsidR="002E0771" w:rsidRPr="002E0771" w14:paraId="2DD49C98" w14:textId="77777777" w:rsidTr="00B01A9D">
        <w:trPr>
          <w:trHeight w:val="80"/>
        </w:trPr>
        <w:tc>
          <w:tcPr>
            <w:tcW w:w="10490" w:type="dxa"/>
          </w:tcPr>
          <w:p w14:paraId="15C7D21F" w14:textId="77777777" w:rsidR="001E6044" w:rsidRPr="002E0771" w:rsidRDefault="001E6044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</w:rPr>
            </w:pPr>
          </w:p>
        </w:tc>
      </w:tr>
      <w:tr w:rsidR="002E0771" w:rsidRPr="002E0771" w14:paraId="1762F13D" w14:textId="77777777" w:rsidTr="00F3701C">
        <w:tc>
          <w:tcPr>
            <w:tcW w:w="10490" w:type="dxa"/>
            <w:shd w:val="clear" w:color="auto" w:fill="auto"/>
          </w:tcPr>
          <w:p w14:paraId="508848F0" w14:textId="77777777" w:rsidR="00D12377" w:rsidRPr="002E0771" w:rsidRDefault="00697419" w:rsidP="0054037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6. SZAKASZ TENNIVALÓK A SZER VÉLETLEN KIKERÜLÉSE ESETÉN A KÖRNYEZETBE</w:t>
            </w:r>
          </w:p>
        </w:tc>
      </w:tr>
      <w:tr w:rsidR="002E0771" w:rsidRPr="002E0771" w14:paraId="56EBCAF0" w14:textId="77777777" w:rsidTr="006A523A">
        <w:trPr>
          <w:trHeight w:val="3164"/>
        </w:trPr>
        <w:tc>
          <w:tcPr>
            <w:tcW w:w="10490" w:type="dxa"/>
            <w:shd w:val="clear" w:color="auto" w:fill="auto"/>
          </w:tcPr>
          <w:p w14:paraId="49CD60AA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proofErr w:type="gramStart"/>
            <w:r w:rsidRPr="002E0771">
              <w:rPr>
                <w:b/>
                <w:sz w:val="18"/>
              </w:rPr>
              <w:t>6.1.  Személyi</w:t>
            </w:r>
            <w:proofErr w:type="gramEnd"/>
            <w:r w:rsidRPr="002E0771">
              <w:rPr>
                <w:b/>
                <w:sz w:val="18"/>
              </w:rPr>
              <w:t xml:space="preserve"> óvintézkedések, egyéni védőeszközök és vészhelyzeti eljárások</w:t>
            </w:r>
          </w:p>
          <w:p w14:paraId="670239BD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Használni kell a személyes védőeszközöket – védőöltözetet, védőkesztyűt és védőálarcot. Kerülni kell a kiömlött, felszabadult anyaggal a kapcsolatot. Kerülni kell bőrre, szembe és ruhára jutását. Korlátozni kell az idegenek bejutását az érintett területre a megfelelő tisztítási eljárások befejezésének idejéig. </w:t>
            </w:r>
          </w:p>
          <w:p w14:paraId="5B6DFBA6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6.2.</w:t>
            </w:r>
            <w:r w:rsidRPr="002E0771">
              <w:rPr>
                <w:sz w:val="18"/>
              </w:rPr>
              <w:t xml:space="preserve"> </w:t>
            </w:r>
            <w:r w:rsidRPr="002E0771">
              <w:rPr>
                <w:b/>
                <w:sz w:val="18"/>
              </w:rPr>
              <w:t>Környezetvédelmi óvintézkedések</w:t>
            </w:r>
          </w:p>
          <w:p w14:paraId="255BF00A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Csatornába nem kerülhet! Meg kell akadályozni a készítmény szennyvizekbe, csatornába, vízfolyásokba jutását. A környezetszennyezés elkerülésére megfelelő edényzetet kell használni. Környezetszennyezés esetén értesíteni kell az illetékes szolgálatokat. </w:t>
            </w:r>
          </w:p>
          <w:p w14:paraId="53147637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6.3.</w:t>
            </w:r>
            <w:r w:rsidRPr="002E0771">
              <w:rPr>
                <w:sz w:val="18"/>
              </w:rPr>
              <w:t xml:space="preserve"> </w:t>
            </w:r>
            <w:r w:rsidRPr="002E0771">
              <w:rPr>
                <w:b/>
                <w:sz w:val="18"/>
              </w:rPr>
              <w:t>A területi elhatárolás és a szennyezés mentesítés módszerei és anyagai</w:t>
            </w:r>
          </w:p>
          <w:p w14:paraId="5307F9DD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Meg kell akadályozni szétterjedését, megfelelő folyadékkötő abszorbens alkalmazásával össze kell gyűjteni (homok, kovaföld, fűrészpor, univerzális kötőanyag). Össze kell gyűjteni a sérült edényeket, és zárt pót edényzetbe kell helyezni. A szennyezett anyagokat megfelelő jelölésekkel ellátott edényekbe kell gyűjteni az előírásoknak megfelelő ártalmatlanítás céljára. Az érintett területet az anyag teljes eltávolítása után fel kell mosni, a helységet ki kell szellőztetni.</w:t>
            </w:r>
          </w:p>
          <w:p w14:paraId="740983F9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EUAlbertina"/>
                <w:b/>
                <w:sz w:val="18"/>
              </w:rPr>
            </w:pPr>
            <w:r w:rsidRPr="002E0771">
              <w:rPr>
                <w:b/>
                <w:sz w:val="18"/>
              </w:rPr>
              <w:t>6.4.</w:t>
            </w:r>
            <w:r w:rsidRPr="002E0771">
              <w:rPr>
                <w:sz w:val="18"/>
              </w:rPr>
              <w:t xml:space="preserve"> </w:t>
            </w:r>
            <w:r w:rsidRPr="002E0771">
              <w:rPr>
                <w:b/>
                <w:sz w:val="18"/>
              </w:rPr>
              <w:t>Hivatkozás más szakaszokra</w:t>
            </w:r>
          </w:p>
          <w:p w14:paraId="2C18EEDB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Az adatlap 13. szakaszának ajánlásaival összhangban kell eltávolítani.</w:t>
            </w:r>
          </w:p>
          <w:p w14:paraId="539003BA" w14:textId="77777777" w:rsidR="005750A1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tisztítás során a 8. szakaszban felsorolt egyéni védőeszközöket kell használni.</w:t>
            </w:r>
          </w:p>
        </w:tc>
      </w:tr>
    </w:tbl>
    <w:p w14:paraId="2ED54742" w14:textId="77777777" w:rsidR="00D12377" w:rsidRPr="002E0771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056276DA" w14:textId="77777777" w:rsidTr="00F3701C">
        <w:tc>
          <w:tcPr>
            <w:tcW w:w="10490" w:type="dxa"/>
          </w:tcPr>
          <w:p w14:paraId="471B824C" w14:textId="77777777" w:rsidR="00D12377" w:rsidRPr="002E0771" w:rsidRDefault="00697419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7. SZAKASZ KEZELÉS ÉS TÁROLÁS</w:t>
            </w:r>
          </w:p>
        </w:tc>
      </w:tr>
      <w:tr w:rsidR="002E0771" w:rsidRPr="002E0771" w14:paraId="79E30F74" w14:textId="77777777" w:rsidTr="00F3701C">
        <w:trPr>
          <w:trHeight w:val="223"/>
        </w:trPr>
        <w:tc>
          <w:tcPr>
            <w:tcW w:w="10490" w:type="dxa"/>
          </w:tcPr>
          <w:p w14:paraId="2D76497C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>7.1.  A biztonságos kezelésre irányuló óvintézkedések</w:t>
            </w:r>
          </w:p>
          <w:p w14:paraId="2DEDEE0B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Be kell tartani a vegyi anyagokra vonatkozó munkavédelmi és munkahigiénés szabályokat. A termék használata közben tilos enni, inni és dohányozni. A szennyezett öltözetet és védőeszközöket le kell venni az ételek fogyasztására kijelölt helységbe való belépés előtt. A szennyezett ruhát újbóli használat előtt ki kell mosni. Kiömlését kerülni kell. Kerülni kell a termék gőzeinek belélegzését. A termék használata után alaposan kezet kell mosni. Kerülni kell a megemelt hőmérsékletet, a forró felületeket és a nyílt lángot. A 8. szakaszban felsorolt egyéni védőeszközöket kell használni.</w:t>
            </w:r>
          </w:p>
          <w:p w14:paraId="1BD1E73A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</w:rPr>
            </w:pPr>
            <w:r w:rsidRPr="002E0771">
              <w:rPr>
                <w:b/>
                <w:sz w:val="18"/>
              </w:rPr>
              <w:t>7.2.</w:t>
            </w:r>
            <w:r w:rsidRPr="002E0771">
              <w:rPr>
                <w:sz w:val="18"/>
              </w:rPr>
              <w:t xml:space="preserve">  </w:t>
            </w:r>
            <w:r w:rsidRPr="002E0771">
              <w:rPr>
                <w:b/>
                <w:sz w:val="18"/>
              </w:rPr>
              <w:t>A biztonságos tárolás feltételei, az összes összeférhetetlenségre vonatkozó információkkal együtt</w:t>
            </w:r>
          </w:p>
          <w:p w14:paraId="5EA05DA2" w14:textId="77777777" w:rsidR="00697419" w:rsidRPr="002E0771" w:rsidRDefault="00697419" w:rsidP="00697419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Kizárólag az eredeti, szorosan zárt eredeti csomagolásban tárolandó, száraz helyen, legkevesebb 0 °C, legfeljebb 30 °C hőmérsékleten. Illetéktelenektől elzárt helyen kell tárolni. Gyermekektől, állatoktól elzárt helyen kell tárolni. Élelmiszertől, italtól és takarmánytól távol tartandó! Hőforrásoktól, felforrósodott felületektől elkülönítve tárolandó.</w:t>
            </w:r>
          </w:p>
          <w:p w14:paraId="4934E738" w14:textId="77777777" w:rsidR="00697419" w:rsidRPr="002E0771" w:rsidRDefault="00697419" w:rsidP="00697419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</w:rPr>
            </w:pPr>
            <w:proofErr w:type="gramStart"/>
            <w:r w:rsidRPr="002E0771">
              <w:rPr>
                <w:b/>
                <w:sz w:val="18"/>
              </w:rPr>
              <w:t>7.3.  Különleges</w:t>
            </w:r>
            <w:proofErr w:type="gramEnd"/>
            <w:r w:rsidRPr="002E0771">
              <w:rPr>
                <w:b/>
                <w:sz w:val="18"/>
              </w:rPr>
              <w:t xml:space="preserve"> végfelhasználás (végfelhasználások)</w:t>
            </w:r>
          </w:p>
          <w:p w14:paraId="0D97213E" w14:textId="77777777" w:rsidR="00D12377" w:rsidRPr="002E0771" w:rsidRDefault="00697419" w:rsidP="00697419">
            <w:pPr>
              <w:tabs>
                <w:tab w:val="left" w:pos="8820"/>
              </w:tabs>
              <w:ind w:left="601"/>
              <w:rPr>
                <w:rFonts w:cs="EUAlbertina"/>
                <w:sz w:val="18"/>
              </w:rPr>
            </w:pPr>
            <w:r w:rsidRPr="002E0771">
              <w:rPr>
                <w:sz w:val="18"/>
              </w:rPr>
              <w:t>Szigorúan betartandók a növényvédő szer címke felhasználási utasításai.</w:t>
            </w:r>
          </w:p>
        </w:tc>
      </w:tr>
    </w:tbl>
    <w:p w14:paraId="16D4BD5E" w14:textId="77777777" w:rsidR="00D12377" w:rsidRPr="002E0771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711889D3" w14:textId="77777777" w:rsidTr="00F3701C">
        <w:tc>
          <w:tcPr>
            <w:tcW w:w="10490" w:type="dxa"/>
            <w:shd w:val="clear" w:color="auto" w:fill="auto"/>
          </w:tcPr>
          <w:p w14:paraId="7A718C19" w14:textId="77777777" w:rsidR="00F66EAD" w:rsidRPr="002E0771" w:rsidRDefault="00697419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8. SZAKASZ AZ EXPOZÍCIÓ ELLENŐRZÉSE/EGYÉNI VÉDELEM</w:t>
            </w:r>
          </w:p>
        </w:tc>
      </w:tr>
      <w:tr w:rsidR="002E0771" w:rsidRPr="002E0771" w14:paraId="2959E723" w14:textId="77777777" w:rsidTr="00F3701C">
        <w:tc>
          <w:tcPr>
            <w:tcW w:w="10490" w:type="dxa"/>
            <w:shd w:val="clear" w:color="auto" w:fill="auto"/>
          </w:tcPr>
          <w:p w14:paraId="556C4F79" w14:textId="77777777" w:rsidR="00697419" w:rsidRPr="002E0771" w:rsidRDefault="00F66EAD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8.1. </w:t>
            </w:r>
            <w:r w:rsidRPr="002E0771">
              <w:tab/>
            </w:r>
            <w:r w:rsidRPr="002E0771">
              <w:rPr>
                <w:b/>
                <w:sz w:val="18"/>
              </w:rPr>
              <w:t>Ellenőrzési paraméterek</w:t>
            </w:r>
          </w:p>
          <w:p w14:paraId="3731BD7C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A keverék összetevőinek megengedett maximális koncentráció (MK) és rövid idejű megengedett legmagasabb koncentráció (CK) értékei:</w:t>
            </w:r>
          </w:p>
          <w:p w14:paraId="0A3F0070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</w:rPr>
            </w:pPr>
          </w:p>
          <w:p w14:paraId="2E00799E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nincs megadva</w:t>
            </w:r>
          </w:p>
          <w:p w14:paraId="63466D53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</w:p>
          <w:p w14:paraId="1FDCFB92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A keverék összetevőinek gyártó által meghatározott megengedett átlagkoncentrációi:</w:t>
            </w:r>
          </w:p>
          <w:p w14:paraId="7BABD186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nincs megadva</w:t>
            </w:r>
          </w:p>
          <w:p w14:paraId="0991F872" w14:textId="77777777" w:rsidR="001003A5" w:rsidRPr="002E0771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Cs/>
                <w:sz w:val="18"/>
              </w:rPr>
            </w:pPr>
          </w:p>
          <w:p w14:paraId="3FF4DD25" w14:textId="77777777" w:rsidR="00697419" w:rsidRPr="002E0771" w:rsidRDefault="00DA489A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8.2. </w:t>
            </w:r>
            <w:r w:rsidRPr="002E0771">
              <w:tab/>
            </w:r>
            <w:r w:rsidRPr="002E0771">
              <w:rPr>
                <w:b/>
                <w:sz w:val="18"/>
              </w:rPr>
              <w:t>Az expozíció ellenőrzése</w:t>
            </w:r>
          </w:p>
          <w:p w14:paraId="2FD4A2F8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lastRenderedPageBreak/>
              <w:t xml:space="preserve">            A megkövetelt védelmi szint és az ellenőrzési módok különböznek a potenciális expozíció körülményeitől függően.</w:t>
            </w:r>
          </w:p>
          <w:p w14:paraId="0B7CC55C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            Az ellenőrzési módokat a helyi körülmények kockázatelemzése alapján kell megválasztani. </w:t>
            </w:r>
          </w:p>
          <w:p w14:paraId="4CAC15EA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b/>
                <w:i/>
                <w:sz w:val="18"/>
                <w:u w:val="single"/>
              </w:rPr>
              <w:t xml:space="preserve">A szem és az arc védelme: </w:t>
            </w:r>
          </w:p>
          <w:p w14:paraId="00D19465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Védőszemüveget vagy arcvédő álarcot kell használni (az EN 166 szabvány szerint). </w:t>
            </w:r>
          </w:p>
          <w:p w14:paraId="033686C4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b/>
                <w:i/>
                <w:sz w:val="18"/>
                <w:u w:val="single"/>
              </w:rPr>
              <w:t xml:space="preserve">A bőr védelme: </w:t>
            </w:r>
          </w:p>
          <w:p w14:paraId="5DDCB6CA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i/>
                <w:sz w:val="18"/>
              </w:rPr>
              <w:t>A kéz védelme:</w:t>
            </w:r>
          </w:p>
          <w:p w14:paraId="775D4173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készítmény üzemi szintű alkalmazása esetén, feltéve a gyakori vagy hosszantartó expozíciót, biztosítani kell a kéz munkakörülményeknek megfelelően megválasztott védelmet. Megfelelő kémiailag ellenálló védőkesztyű (EN 374) hosszantartó, közvetlen érintkezés esetére is (javasolt védőindex: 6, ami &gt; 480 perc áthatolási időnek felel meg az EN 374 szerint): pl. nitrilgumi (0,4 mm), kloroprén gumi (0,5 mm), polivinil-klorid (0,7 mm) stb.</w:t>
            </w:r>
          </w:p>
          <w:p w14:paraId="4FA4D71B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b/>
                <w:sz w:val="18"/>
                <w:u w:val="single"/>
              </w:rPr>
              <w:t xml:space="preserve">A védőkesztyűk anyaga: </w:t>
            </w:r>
          </w:p>
          <w:p w14:paraId="01DD0A3E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A megfelelő védőkesztyűk megválasztása nem csak az alapanyag, hanem a gyártók közötti különbségek miatt a márkától és a minőségtől is függ. A kesztyű anyagának ellenálló-képessége vizsgálatok alapján állapítható meg. A kesztyűk elhasználódásának pontos időtartamát a gyártónak kell megállapítania. </w:t>
            </w:r>
          </w:p>
          <w:p w14:paraId="17DEA16D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i/>
                <w:sz w:val="18"/>
                <w:u w:val="single"/>
              </w:rPr>
              <w:t xml:space="preserve">Egyéb: </w:t>
            </w:r>
          </w:p>
          <w:p w14:paraId="52E38F37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test védelmét a végzett tevékenységek és a lehetséges hatások függvényében kell megválasztani, pl. köpeny, védőcipő, vegyszereknek ellenálló védőöltözet (az EN 14605 szerint).</w:t>
            </w:r>
          </w:p>
          <w:p w14:paraId="7EFA1FCC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b/>
                <w:i/>
                <w:sz w:val="18"/>
                <w:u w:val="single"/>
              </w:rPr>
              <w:t xml:space="preserve">A légutak védelme: </w:t>
            </w:r>
          </w:p>
          <w:p w14:paraId="5CA2C7C0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Kerülni kell a termék gőzeinek belélegzését. Nem kielégítő szellőzés esetén alkalmazandó légzésvédelem: Közepes hatékonyságú részecskeszűrő szilárd és folyadék részecskék részére (pl. EN 143 vagy 149, P2 l FFP2 típus)</w:t>
            </w:r>
          </w:p>
          <w:p w14:paraId="6BD5E74A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b/>
                <w:sz w:val="18"/>
                <w:u w:val="single"/>
              </w:rPr>
              <w:t xml:space="preserve">Hőmérsékleti veszélyek: </w:t>
            </w:r>
          </w:p>
          <w:p w14:paraId="0816FA39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Nem érinti. </w:t>
            </w:r>
          </w:p>
          <w:p w14:paraId="748A0564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</w:p>
          <w:p w14:paraId="6DFDBF5E" w14:textId="77777777" w:rsidR="00697419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A környezeti expozíció ellenőrzése</w:t>
            </w:r>
          </w:p>
          <w:p w14:paraId="3AA364AC" w14:textId="77777777" w:rsidR="00F66EAD" w:rsidRPr="002E0771" w:rsidRDefault="00697419" w:rsidP="00697419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Meg kell akadályozni a terjedését a környezetben és bekerülését a csatornákba és vízfolyásokba.</w:t>
            </w:r>
          </w:p>
        </w:tc>
      </w:tr>
    </w:tbl>
    <w:p w14:paraId="7904FC95" w14:textId="77777777" w:rsidR="00F66EAD" w:rsidRPr="002E0771" w:rsidRDefault="00F66EAD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712"/>
        <w:gridCol w:w="850"/>
      </w:tblGrid>
      <w:tr w:rsidR="002E0771" w:rsidRPr="002E0771" w14:paraId="6BC1B59B" w14:textId="77777777" w:rsidTr="004D4F9C">
        <w:tc>
          <w:tcPr>
            <w:tcW w:w="10490" w:type="dxa"/>
            <w:gridSpan w:val="4"/>
          </w:tcPr>
          <w:p w14:paraId="4F5ADC49" w14:textId="77777777" w:rsidR="00B363EF" w:rsidRPr="002E0771" w:rsidRDefault="00697419" w:rsidP="00793A70">
            <w:pPr>
              <w:pStyle w:val="CWHead"/>
              <w:keepNext/>
              <w:keepLines/>
              <w:tabs>
                <w:tab w:val="left" w:pos="1168"/>
                <w:tab w:val="left" w:pos="6267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9. SZAKASZ FIZIKAI ÉS KÉMIAI JELLEMZŐK</w:t>
            </w:r>
          </w:p>
        </w:tc>
      </w:tr>
      <w:tr w:rsidR="002E0771" w:rsidRPr="002E0771" w14:paraId="00728435" w14:textId="77777777" w:rsidTr="004D4F9C">
        <w:tc>
          <w:tcPr>
            <w:tcW w:w="10490" w:type="dxa"/>
            <w:gridSpan w:val="4"/>
          </w:tcPr>
          <w:p w14:paraId="0160FA64" w14:textId="77777777" w:rsidR="00B363EF" w:rsidRPr="002E0771" w:rsidRDefault="00B363EF" w:rsidP="00E75F40">
            <w:pPr>
              <w:pStyle w:val="lfej"/>
              <w:keepLines/>
              <w:tabs>
                <w:tab w:val="left" w:pos="601"/>
              </w:tabs>
              <w:spacing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9.1. </w:t>
            </w:r>
            <w:r w:rsidRPr="002E0771">
              <w:tab/>
            </w:r>
            <w:r w:rsidRPr="002E0771">
              <w:rPr>
                <w:b/>
                <w:sz w:val="18"/>
              </w:rPr>
              <w:t>Az alapvető fizikai és kémiai tulajdonságokra vonatkozó információ</w:t>
            </w:r>
          </w:p>
        </w:tc>
      </w:tr>
      <w:tr w:rsidR="002E0771" w:rsidRPr="002E0771" w14:paraId="5DDFE04B" w14:textId="77777777" w:rsidTr="004D4F9C">
        <w:trPr>
          <w:gridBefore w:val="1"/>
          <w:gridAfter w:val="1"/>
          <w:wBefore w:w="959" w:type="dxa"/>
          <w:wAfter w:w="850" w:type="dxa"/>
          <w:trHeight w:val="12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46895F" w14:textId="77777777" w:rsidR="00697419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Megjelenése: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110D59D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egyöntetű, világos bézs színű folyadék</w:t>
            </w:r>
          </w:p>
        </w:tc>
      </w:tr>
      <w:tr w:rsidR="002E0771" w:rsidRPr="002E0771" w14:paraId="01AA3761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AC8B8A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Szag: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672155C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jellegzetes</w:t>
            </w:r>
          </w:p>
        </w:tc>
      </w:tr>
      <w:tr w:rsidR="002E0771" w:rsidRPr="002E0771" w14:paraId="13C811A6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1B2641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Szagküszöb: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E977748" w14:textId="77777777" w:rsidR="00697419" w:rsidRPr="002E0771" w:rsidRDefault="001718E4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434301B1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59D6F5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1%-os vizes szuszpenzió pH-ja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A98640B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5.20-5.29</w:t>
            </w:r>
          </w:p>
        </w:tc>
      </w:tr>
      <w:tr w:rsidR="002E0771" w:rsidRPr="002E0771" w14:paraId="4E12B4EA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A4BB57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Olvadáspont / dermedéspont: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56B3E2DA" w14:textId="77777777" w:rsidR="00697419" w:rsidRPr="002E0771" w:rsidRDefault="001718E4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i/>
                <w:sz w:val="18"/>
              </w:rPr>
              <w:t>nincs adat</w:t>
            </w:r>
          </w:p>
        </w:tc>
      </w:tr>
      <w:tr w:rsidR="002E0771" w:rsidRPr="002E0771" w14:paraId="2C3FD9FC" w14:textId="77777777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B3482E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Kezdeti forráspont és forrási hőmérséklettartomány: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EE4D803" w14:textId="77777777" w:rsidR="00697419" w:rsidRPr="002E0771" w:rsidRDefault="001718E4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1C340D3A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9A6BCB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Lobbanáspont: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47261D04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forráspontig nem gyullad</w:t>
            </w:r>
          </w:p>
        </w:tc>
      </w:tr>
      <w:tr w:rsidR="002E0771" w:rsidRPr="002E0771" w14:paraId="5F7B8EE3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EC3DB1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Párolgási sebesség: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9077E0C" w14:textId="77777777" w:rsidR="00697419" w:rsidRPr="002E0771" w:rsidRDefault="001718E4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292C3E7B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259653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Éghetőség: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1704AB4C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i/>
                <w:sz w:val="18"/>
              </w:rPr>
              <w:t>nem alkalmazható</w:t>
            </w:r>
          </w:p>
        </w:tc>
      </w:tr>
      <w:tr w:rsidR="002E0771" w:rsidRPr="002E0771" w14:paraId="3BD090BE" w14:textId="77777777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65AD2F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Alsó/felső éghetőségi határ vagy alsó/felső robbanási határ: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54B195E7" w14:textId="77777777" w:rsidR="00697419" w:rsidRPr="002E0771" w:rsidRDefault="00697419" w:rsidP="00697419">
            <w:r w:rsidRPr="002E0771">
              <w:rPr>
                <w:rFonts w:eastAsiaTheme="minorHAnsi" w:cs="Arial"/>
                <w:i/>
                <w:snapToGrid/>
                <w:sz w:val="18"/>
                <w:szCs w:val="22"/>
              </w:rPr>
              <w:br/>
            </w:r>
            <w:r w:rsidRPr="002E0771">
              <w:rPr>
                <w:rFonts w:eastAsiaTheme="minorHAnsi"/>
                <w:i/>
                <w:snapToGrid/>
                <w:sz w:val="18"/>
              </w:rPr>
              <w:t>nem alkalmazható</w:t>
            </w:r>
          </w:p>
        </w:tc>
      </w:tr>
      <w:tr w:rsidR="002E0771" w:rsidRPr="002E0771" w14:paraId="179841B2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4D89FC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Gőznyomás: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8B374E4" w14:textId="77777777" w:rsidR="00697419" w:rsidRPr="002E0771" w:rsidRDefault="001718E4" w:rsidP="00697419"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70B3AC8D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1D0EAC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Gőzsűrűség: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40C8C17D" w14:textId="77777777" w:rsidR="00697419" w:rsidRPr="002E0771" w:rsidRDefault="001718E4" w:rsidP="00697419"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5D0FA72E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EF9CC0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Relatív sűrűség: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E5D5194" w14:textId="77777777" w:rsidR="00697419" w:rsidRPr="002E0771" w:rsidRDefault="00697419" w:rsidP="00697419">
            <w:pPr>
              <w:spacing w:before="20" w:after="20"/>
              <w:rPr>
                <w:sz w:val="18"/>
              </w:rPr>
            </w:pPr>
            <w:r w:rsidRPr="002E0771">
              <w:rPr>
                <w:sz w:val="18"/>
              </w:rPr>
              <w:t>1,177</w:t>
            </w:r>
          </w:p>
        </w:tc>
      </w:tr>
      <w:tr w:rsidR="002E0771" w:rsidRPr="002E0771" w14:paraId="2918E747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8D78D6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Oldhatóság: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1A617D84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szuszpenziót képez</w:t>
            </w:r>
          </w:p>
        </w:tc>
      </w:tr>
      <w:tr w:rsidR="002E0771" w:rsidRPr="002E0771" w14:paraId="021D8975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6D5CB8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Megoszlási hányados n-oktanol/víz: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D8AD515" w14:textId="77777777" w:rsidR="00697419" w:rsidRPr="002E0771" w:rsidRDefault="001718E4" w:rsidP="00697419"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5FA227A4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2F06AD" w14:textId="77777777" w:rsidR="00697419" w:rsidRPr="002E0771" w:rsidRDefault="00697419" w:rsidP="00697419">
            <w:pPr>
              <w:tabs>
                <w:tab w:val="left" w:pos="2640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Öngyulladási hőmérséklet:</w:t>
            </w:r>
            <w:r w:rsidRPr="002E0771">
              <w:tab/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11FE508" w14:textId="77777777" w:rsidR="00697419" w:rsidRPr="002E0771" w:rsidRDefault="00697419" w:rsidP="00697419">
            <w:r w:rsidRPr="002E0771">
              <w:rPr>
                <w:rFonts w:eastAsiaTheme="minorHAnsi"/>
                <w:snapToGrid/>
                <w:sz w:val="18"/>
              </w:rPr>
              <w:t>620 °C</w:t>
            </w:r>
          </w:p>
        </w:tc>
      </w:tr>
      <w:tr w:rsidR="002E0771" w:rsidRPr="002E0771" w14:paraId="00123CAB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D7A035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Bomlási hőmérséklet: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D2A0517" w14:textId="77777777" w:rsidR="00697419" w:rsidRPr="002E0771" w:rsidRDefault="001718E4" w:rsidP="00697419"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67E0E1CC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AE2298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Viszkozitás: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7171FD14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</w:rPr>
            </w:pPr>
            <w:r w:rsidRPr="002E0771">
              <w:rPr>
                <w:rFonts w:eastAsiaTheme="minorHAnsi"/>
                <w:snapToGrid/>
                <w:sz w:val="18"/>
              </w:rPr>
              <w:t>20ºC-</w:t>
            </w:r>
            <w:proofErr w:type="gramStart"/>
            <w:r w:rsidRPr="002E0771">
              <w:rPr>
                <w:rFonts w:eastAsiaTheme="minorHAnsi"/>
                <w:snapToGrid/>
                <w:sz w:val="18"/>
              </w:rPr>
              <w:t xml:space="preserve">on:   </w:t>
            </w:r>
            <w:proofErr w:type="gramEnd"/>
            <w:r w:rsidRPr="002E0771">
              <w:rPr>
                <w:rFonts w:eastAsiaTheme="minorHAnsi"/>
                <w:snapToGrid/>
                <w:sz w:val="18"/>
              </w:rPr>
              <w:t xml:space="preserve">                                   40ºC-on:</w:t>
            </w:r>
          </w:p>
          <w:p w14:paraId="3D06EA44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</w:rPr>
            </w:pPr>
            <w:r w:rsidRPr="002E0771">
              <w:rPr>
                <w:rFonts w:eastAsiaTheme="minorHAnsi"/>
                <w:snapToGrid/>
                <w:sz w:val="18"/>
              </w:rPr>
              <w:t>- 5 s-1-nál 601 mPa·</w:t>
            </w:r>
            <w:proofErr w:type="gramStart"/>
            <w:r w:rsidRPr="002E0771">
              <w:rPr>
                <w:rFonts w:eastAsiaTheme="minorHAnsi"/>
                <w:snapToGrid/>
                <w:sz w:val="18"/>
              </w:rPr>
              <w:t xml:space="preserve">s,   </w:t>
            </w:r>
            <w:proofErr w:type="gramEnd"/>
            <w:r w:rsidRPr="002E0771">
              <w:rPr>
                <w:rFonts w:eastAsiaTheme="minorHAnsi"/>
                <w:snapToGrid/>
                <w:sz w:val="18"/>
              </w:rPr>
              <w:t xml:space="preserve">     460 mPa·s,</w:t>
            </w:r>
          </w:p>
          <w:p w14:paraId="4D56123C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</w:rPr>
            </w:pPr>
            <w:r w:rsidRPr="002E0771">
              <w:rPr>
                <w:rFonts w:eastAsiaTheme="minorHAnsi"/>
                <w:snapToGrid/>
                <w:sz w:val="18"/>
              </w:rPr>
              <w:t>- 10 s-1-nál 361 mPa·</w:t>
            </w:r>
            <w:proofErr w:type="gramStart"/>
            <w:r w:rsidRPr="002E0771">
              <w:rPr>
                <w:rFonts w:eastAsiaTheme="minorHAnsi"/>
                <w:snapToGrid/>
                <w:sz w:val="18"/>
              </w:rPr>
              <w:t xml:space="preserve">s,   </w:t>
            </w:r>
            <w:proofErr w:type="gramEnd"/>
            <w:r w:rsidRPr="002E0771">
              <w:rPr>
                <w:rFonts w:eastAsiaTheme="minorHAnsi"/>
                <w:snapToGrid/>
                <w:sz w:val="18"/>
              </w:rPr>
              <w:t xml:space="preserve">     329 mPa·s,</w:t>
            </w:r>
          </w:p>
          <w:p w14:paraId="7A067856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</w:rPr>
            </w:pPr>
            <w:r w:rsidRPr="002E0771">
              <w:rPr>
                <w:rFonts w:eastAsiaTheme="minorHAnsi"/>
                <w:snapToGrid/>
                <w:sz w:val="18"/>
              </w:rPr>
              <w:t>- 25 s-1-nál 188 mPa·</w:t>
            </w:r>
            <w:proofErr w:type="gramStart"/>
            <w:r w:rsidRPr="002E0771">
              <w:rPr>
                <w:rFonts w:eastAsiaTheme="minorHAnsi"/>
                <w:snapToGrid/>
                <w:sz w:val="18"/>
              </w:rPr>
              <w:t xml:space="preserve">s,   </w:t>
            </w:r>
            <w:proofErr w:type="gramEnd"/>
            <w:r w:rsidRPr="002E0771">
              <w:rPr>
                <w:rFonts w:eastAsiaTheme="minorHAnsi"/>
                <w:snapToGrid/>
                <w:sz w:val="18"/>
              </w:rPr>
              <w:t xml:space="preserve">     167 mPa·s,</w:t>
            </w:r>
          </w:p>
          <w:p w14:paraId="654374B3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i/>
                <w:snapToGrid/>
                <w:sz w:val="18"/>
                <w:szCs w:val="22"/>
              </w:rPr>
            </w:pPr>
            <w:r w:rsidRPr="002E0771">
              <w:rPr>
                <w:rFonts w:eastAsiaTheme="minorHAnsi"/>
                <w:snapToGrid/>
                <w:sz w:val="18"/>
              </w:rPr>
              <w:t>- 50 s-1-nál 118 mPa·</w:t>
            </w:r>
            <w:proofErr w:type="gramStart"/>
            <w:r w:rsidRPr="002E0771">
              <w:rPr>
                <w:rFonts w:eastAsiaTheme="minorHAnsi"/>
                <w:snapToGrid/>
                <w:sz w:val="18"/>
              </w:rPr>
              <w:t xml:space="preserve">s,   </w:t>
            </w:r>
            <w:proofErr w:type="gramEnd"/>
            <w:r w:rsidRPr="002E0771">
              <w:rPr>
                <w:rFonts w:eastAsiaTheme="minorHAnsi"/>
                <w:snapToGrid/>
                <w:sz w:val="18"/>
              </w:rPr>
              <w:t xml:space="preserve">     103 mPa·s,</w:t>
            </w:r>
          </w:p>
        </w:tc>
      </w:tr>
      <w:tr w:rsidR="002E0771" w:rsidRPr="002E0771" w14:paraId="79178DC2" w14:textId="77777777" w:rsidTr="004D4F9C">
        <w:trPr>
          <w:gridBefore w:val="1"/>
          <w:gridAfter w:val="1"/>
          <w:wBefore w:w="959" w:type="dxa"/>
          <w:wAfter w:w="850" w:type="dxa"/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434918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Robbanóképesség: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557EC77" w14:textId="77777777" w:rsidR="00697419" w:rsidRPr="002E0771" w:rsidRDefault="001718E4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2E0771">
              <w:rPr>
                <w:rFonts w:eastAsiaTheme="minorHAnsi"/>
                <w:i/>
                <w:snapToGrid/>
                <w:sz w:val="18"/>
              </w:rPr>
              <w:t>nincs adat</w:t>
            </w:r>
          </w:p>
        </w:tc>
      </w:tr>
      <w:tr w:rsidR="002E0771" w:rsidRPr="002E0771" w14:paraId="0E2650B5" w14:textId="7777777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A64756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Oxidáló képesség: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10B6B75" w14:textId="77777777" w:rsidR="00697419" w:rsidRPr="002E0771" w:rsidRDefault="00697419" w:rsidP="0069741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nincsenek oxidáló tulajdonságai </w:t>
            </w:r>
          </w:p>
        </w:tc>
      </w:tr>
      <w:tr w:rsidR="002E0771" w:rsidRPr="002E0771" w14:paraId="1F9D7C0A" w14:textId="77777777" w:rsidTr="004D4F9C">
        <w:trPr>
          <w:trHeight w:val="123"/>
        </w:trPr>
        <w:tc>
          <w:tcPr>
            <w:tcW w:w="10490" w:type="dxa"/>
            <w:gridSpan w:val="4"/>
          </w:tcPr>
          <w:p w14:paraId="6EF2E420" w14:textId="77777777" w:rsidR="00697419" w:rsidRPr="002E0771" w:rsidRDefault="002A603E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lastRenderedPageBreak/>
              <w:t xml:space="preserve">9.2. </w:t>
            </w:r>
            <w:r w:rsidRPr="002E0771">
              <w:tab/>
            </w:r>
            <w:r w:rsidRPr="002E0771">
              <w:rPr>
                <w:b/>
                <w:sz w:val="18"/>
              </w:rPr>
              <w:t>Egyéb információk</w:t>
            </w:r>
          </w:p>
          <w:p w14:paraId="77269E8D" w14:textId="77777777" w:rsidR="002A603E" w:rsidRPr="002E0771" w:rsidRDefault="00697419" w:rsidP="00697419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    Felületi </w:t>
            </w:r>
            <w:proofErr w:type="gramStart"/>
            <w:r w:rsidRPr="002E0771">
              <w:rPr>
                <w:sz w:val="18"/>
              </w:rPr>
              <w:t>feszültség:  43</w:t>
            </w:r>
            <w:proofErr w:type="gramEnd"/>
            <w:r w:rsidRPr="002E0771">
              <w:rPr>
                <w:sz w:val="18"/>
              </w:rPr>
              <w:t>,5 mN/m</w:t>
            </w:r>
          </w:p>
        </w:tc>
      </w:tr>
    </w:tbl>
    <w:p w14:paraId="77AC4600" w14:textId="77777777" w:rsidR="004E187A" w:rsidRPr="002E0771" w:rsidRDefault="004E187A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39DBD3F3" w14:textId="77777777" w:rsidTr="0057020B">
        <w:tc>
          <w:tcPr>
            <w:tcW w:w="10490" w:type="dxa"/>
          </w:tcPr>
          <w:p w14:paraId="27065AF3" w14:textId="77777777" w:rsidR="002A603E" w:rsidRPr="002E0771" w:rsidRDefault="001718E4" w:rsidP="002A603E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10. SZAKASZ REAKCIÓKÉSZSÉG ÉS STABILITÁS</w:t>
            </w:r>
          </w:p>
        </w:tc>
      </w:tr>
      <w:tr w:rsidR="002E0771" w:rsidRPr="002E0771" w14:paraId="16222A7D" w14:textId="77777777" w:rsidTr="0057020B">
        <w:trPr>
          <w:trHeight w:val="267"/>
        </w:trPr>
        <w:tc>
          <w:tcPr>
            <w:tcW w:w="10490" w:type="dxa"/>
          </w:tcPr>
          <w:p w14:paraId="415EE98B" w14:textId="77777777" w:rsidR="001718E4" w:rsidRPr="002E0771" w:rsidRDefault="001718E4" w:rsidP="001718E4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10.1. Reakciókészség</w:t>
            </w:r>
          </w:p>
          <w:p w14:paraId="71325249" w14:textId="77777777" w:rsidR="001718E4" w:rsidRPr="002E0771" w:rsidRDefault="001718E4" w:rsidP="001718E4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Rendeltetésének megfelelő tárolási és kezelési körülmények között nem reakcióképes.</w:t>
            </w:r>
          </w:p>
          <w:p w14:paraId="328B9DBA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10.2. Kémiai stabilitás</w:t>
            </w:r>
          </w:p>
          <w:p w14:paraId="312EAEEE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Stabil rendes alkalmazási, szállítási és tárolási körülmények között.</w:t>
            </w:r>
          </w:p>
          <w:p w14:paraId="66F9A970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10.3. A veszélyes reakciók lehetősége</w:t>
            </w:r>
          </w:p>
          <w:p w14:paraId="12E62ABF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Rendes alkalmazási és tárolási körülmények között nem áll fenn.</w:t>
            </w:r>
          </w:p>
          <w:p w14:paraId="23029AEF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10.4. Kerülendő körülmények</w:t>
            </w:r>
          </w:p>
          <w:p w14:paraId="35FE897C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            A tárolásra jellemző tartományon kívüli hőmérséklet, közvetlen napsugárzás.</w:t>
            </w:r>
          </w:p>
          <w:p w14:paraId="00ED188B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10.5. Nem összeférhető anyagok</w:t>
            </w:r>
          </w:p>
          <w:p w14:paraId="22D32C58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címkén található alkalmazási utasítás szerint használandó fel. Az ajánlottakon kívüli termékekkel tilos elegyben alkalmazni.</w:t>
            </w:r>
          </w:p>
          <w:p w14:paraId="1A58E704" w14:textId="77777777" w:rsidR="001718E4" w:rsidRPr="002E0771" w:rsidRDefault="001718E4" w:rsidP="001718E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10.6. Veszélyes bomlástermékek</w:t>
            </w:r>
          </w:p>
          <w:p w14:paraId="5FA34886" w14:textId="77777777" w:rsidR="00793A70" w:rsidRPr="002E0771" w:rsidRDefault="001718E4" w:rsidP="001718E4">
            <w:pPr>
              <w:tabs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Hőbomlása során toxikus gázok – szénoxidok, nitrogénoxidok, klórvegyületek – keletkeznek.</w:t>
            </w:r>
          </w:p>
        </w:tc>
      </w:tr>
    </w:tbl>
    <w:p w14:paraId="37C4CB7C" w14:textId="77777777" w:rsidR="00793A70" w:rsidRPr="002E0771" w:rsidRDefault="00793A70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719"/>
        <w:gridCol w:w="5920"/>
        <w:gridCol w:w="283"/>
      </w:tblGrid>
      <w:tr w:rsidR="002E0771" w:rsidRPr="002E0771" w14:paraId="29DCDD4B" w14:textId="77777777" w:rsidTr="004502CD">
        <w:tc>
          <w:tcPr>
            <w:tcW w:w="10490" w:type="dxa"/>
            <w:gridSpan w:val="4"/>
          </w:tcPr>
          <w:p w14:paraId="13BF383B" w14:textId="77777777" w:rsidR="00A70F8C" w:rsidRPr="002E0771" w:rsidRDefault="001718E4" w:rsidP="00A70F8C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11. SZAKASZ TOXIKOLÓGIAI ADATOK</w:t>
            </w:r>
          </w:p>
        </w:tc>
      </w:tr>
      <w:tr w:rsidR="002E0771" w:rsidRPr="002E0771" w14:paraId="337332F2" w14:textId="77777777" w:rsidTr="004502CD">
        <w:trPr>
          <w:cantSplit/>
        </w:trPr>
        <w:tc>
          <w:tcPr>
            <w:tcW w:w="10490" w:type="dxa"/>
            <w:gridSpan w:val="4"/>
          </w:tcPr>
          <w:p w14:paraId="19224005" w14:textId="77777777" w:rsidR="00A70F8C" w:rsidRPr="002E0771" w:rsidRDefault="00A70F8C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11.1. </w:t>
            </w:r>
            <w:r w:rsidRPr="002E0771">
              <w:tab/>
            </w:r>
            <w:r w:rsidRPr="002E0771">
              <w:rPr>
                <w:b/>
                <w:sz w:val="18"/>
              </w:rPr>
              <w:t>A toxikológiai hatásokra vonatkozó információ</w:t>
            </w:r>
          </w:p>
          <w:p w14:paraId="51FEB504" w14:textId="77777777" w:rsidR="001C4ADA" w:rsidRPr="002E0771" w:rsidRDefault="001C4ADA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u w:val="single"/>
              </w:rPr>
            </w:pPr>
            <w:r w:rsidRPr="002E0771">
              <w:tab/>
            </w:r>
            <w:r w:rsidRPr="002E0771">
              <w:rPr>
                <w:sz w:val="18"/>
                <w:u w:val="single"/>
              </w:rPr>
              <w:t>A keveréket érintő adatok:</w:t>
            </w:r>
          </w:p>
        </w:tc>
      </w:tr>
      <w:tr w:rsidR="002E0771" w:rsidRPr="002E0771" w14:paraId="094405C5" w14:textId="77777777" w:rsidTr="00CC76C3">
        <w:trPr>
          <w:gridBefore w:val="1"/>
          <w:wBefore w:w="568" w:type="dxa"/>
          <w:trHeight w:val="611"/>
        </w:trPr>
        <w:tc>
          <w:tcPr>
            <w:tcW w:w="9639" w:type="dxa"/>
            <w:gridSpan w:val="2"/>
          </w:tcPr>
          <w:p w14:paraId="6576353E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Akut toxicitás: </w:t>
            </w:r>
          </w:p>
          <w:p w14:paraId="02E588BC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 - szájon át (patkány</w:t>
            </w:r>
            <w:proofErr w:type="gramStart"/>
            <w:r w:rsidRPr="002E0771">
              <w:rPr>
                <w:sz w:val="18"/>
              </w:rPr>
              <w:t xml:space="preserve">):   </w:t>
            </w:r>
            <w:proofErr w:type="gramEnd"/>
            <w:r w:rsidRPr="002E0771">
              <w:rPr>
                <w:sz w:val="18"/>
              </w:rPr>
              <w:t xml:space="preserve">             LD50 &gt;300 mg/kg mc</w:t>
            </w:r>
          </w:p>
          <w:p w14:paraId="3ABB356A" w14:textId="77777777" w:rsidR="00470232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2E0771">
              <w:rPr>
                <w:sz w:val="18"/>
              </w:rPr>
              <w:t xml:space="preserve">         - bőrön át (patkány</w:t>
            </w:r>
            <w:proofErr w:type="gramStart"/>
            <w:r w:rsidRPr="002E0771">
              <w:rPr>
                <w:sz w:val="18"/>
              </w:rPr>
              <w:t xml:space="preserve">):   </w:t>
            </w:r>
            <w:proofErr w:type="gramEnd"/>
            <w:r w:rsidRPr="002E0771">
              <w:rPr>
                <w:sz w:val="18"/>
              </w:rPr>
              <w:t xml:space="preserve">              LD50 &gt;2000 mg/kg mc</w:t>
            </w:r>
          </w:p>
          <w:p w14:paraId="3AFD084A" w14:textId="77777777" w:rsidR="009E37E0" w:rsidRPr="002E0771" w:rsidRDefault="009E37E0" w:rsidP="009E37E0">
            <w:pPr>
              <w:tabs>
                <w:tab w:val="left" w:pos="459"/>
                <w:tab w:val="left" w:pos="3240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  - </w:t>
            </w:r>
            <w:proofErr w:type="gramStart"/>
            <w:r w:rsidRPr="009E37E0">
              <w:rPr>
                <w:sz w:val="18"/>
              </w:rPr>
              <w:t>belélegzés</w:t>
            </w:r>
            <w:r>
              <w:rPr>
                <w:sz w:val="18"/>
              </w:rPr>
              <w:t xml:space="preserve">:   </w:t>
            </w:r>
            <w:proofErr w:type="gramEnd"/>
            <w:r>
              <w:rPr>
                <w:sz w:val="18"/>
              </w:rPr>
              <w:t xml:space="preserve">                          LD50&gt; 20 mg/L</w:t>
            </w:r>
          </w:p>
          <w:p w14:paraId="1833D521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14:paraId="17840917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Irritáló hatás:</w:t>
            </w:r>
          </w:p>
          <w:p w14:paraId="3F5D7060" w14:textId="77777777" w:rsidR="001718E4" w:rsidRPr="002E0771" w:rsidRDefault="001718E4" w:rsidP="001718E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- szemre (nyúl</w:t>
            </w:r>
            <w:proofErr w:type="gramStart"/>
            <w:r w:rsidRPr="002E0771">
              <w:rPr>
                <w:sz w:val="18"/>
              </w:rPr>
              <w:t xml:space="preserve">):   </w:t>
            </w:r>
            <w:proofErr w:type="gramEnd"/>
            <w:r w:rsidRPr="002E0771">
              <w:rPr>
                <w:sz w:val="18"/>
              </w:rPr>
              <w:t xml:space="preserve">          nem irritálja a szemet (a 1272/2008/EK rendelet kritériumai szerint)</w:t>
            </w:r>
          </w:p>
          <w:p w14:paraId="7EACF57A" w14:textId="77777777" w:rsidR="001718E4" w:rsidRPr="002E0771" w:rsidRDefault="001718E4" w:rsidP="001718E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- bőrre (nyúl</w:t>
            </w:r>
            <w:proofErr w:type="gramStart"/>
            <w:r w:rsidRPr="002E0771">
              <w:rPr>
                <w:sz w:val="18"/>
              </w:rPr>
              <w:t xml:space="preserve">):   </w:t>
            </w:r>
            <w:proofErr w:type="gramEnd"/>
            <w:r w:rsidRPr="002E0771">
              <w:rPr>
                <w:sz w:val="18"/>
              </w:rPr>
              <w:t xml:space="preserve">             nem bőrirritáló hatású (a 1272/2008/EK rendelet kritériumai szerint)</w:t>
            </w:r>
          </w:p>
          <w:p w14:paraId="4C524B05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14:paraId="0C14E8D8" w14:textId="77777777" w:rsidR="00470232" w:rsidRPr="002E0771" w:rsidRDefault="00470232" w:rsidP="00470232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Allergizáló hatás:</w:t>
            </w:r>
          </w:p>
          <w:p w14:paraId="19355AC5" w14:textId="77777777" w:rsidR="00CC76C3" w:rsidRPr="002E0771" w:rsidRDefault="00470232" w:rsidP="00CC76C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- bőrre (tengerimalac</w:t>
            </w:r>
            <w:proofErr w:type="gramStart"/>
            <w:r w:rsidRPr="002E0771">
              <w:rPr>
                <w:sz w:val="18"/>
              </w:rPr>
              <w:t xml:space="preserve">):   </w:t>
            </w:r>
            <w:proofErr w:type="gramEnd"/>
            <w:r w:rsidRPr="002E0771">
              <w:rPr>
                <w:sz w:val="18"/>
              </w:rPr>
              <w:t>erősen szenzibilizáló hatású (a Magnusson és Kligman besorolás alapján,</w:t>
            </w:r>
          </w:p>
          <w:p w14:paraId="2EE8092A" w14:textId="77777777" w:rsidR="00470232" w:rsidRPr="002E0771" w:rsidRDefault="00CC76C3" w:rsidP="00CC76C3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                                              az 1272/2008/EK – Skin Sens 1B, H317 rendelet feltételei szerint)</w:t>
            </w:r>
          </w:p>
          <w:p w14:paraId="16B462AF" w14:textId="77777777" w:rsidR="007132C4" w:rsidRPr="002E0771" w:rsidRDefault="007132C4" w:rsidP="007132C4">
            <w:pPr>
              <w:tabs>
                <w:tab w:val="left" w:pos="567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 Maró hatás:</w:t>
            </w:r>
            <w:r w:rsidRPr="002E0771">
              <w:rPr>
                <w:sz w:val="18"/>
              </w:rPr>
              <w:t xml:space="preserve"> nem alkalmazható. A termék nem tartalmaz maró hatású összetevőt.</w:t>
            </w:r>
          </w:p>
          <w:p w14:paraId="213A7F8F" w14:textId="77777777" w:rsidR="00900FF7" w:rsidRPr="002E0771" w:rsidRDefault="00900FF7" w:rsidP="007132C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 Allergizáló hatás:</w:t>
            </w:r>
            <w:r w:rsidRPr="002E0771">
              <w:rPr>
                <w:sz w:val="18"/>
              </w:rPr>
              <w:t xml:space="preserve"> a termék azonosított szenzibilizáló hatású összevetőt tartalmaz (flufenacet)</w:t>
            </w:r>
          </w:p>
          <w:p w14:paraId="5C3C5C53" w14:textId="77777777" w:rsidR="001718E4" w:rsidRPr="002E0771" w:rsidRDefault="007132C4" w:rsidP="001718E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 Karcinogenitás: </w:t>
            </w:r>
            <w:r w:rsidRPr="002E0771">
              <w:rPr>
                <w:sz w:val="18"/>
              </w:rPr>
              <w:t>a termék nem tartalmaz rákkeltő hatásúként azonosított összetevőt</w:t>
            </w:r>
          </w:p>
          <w:p w14:paraId="12AED205" w14:textId="77777777" w:rsidR="001718E4" w:rsidRPr="002E0771" w:rsidRDefault="001718E4" w:rsidP="001718E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Mugatén hatás:</w:t>
            </w:r>
            <w:r w:rsidRPr="002E0771">
              <w:rPr>
                <w:sz w:val="18"/>
              </w:rPr>
              <w:t xml:space="preserve"> a termék nem tartalmaz mutagén hatásúként azonosított összetevőt.</w:t>
            </w:r>
          </w:p>
          <w:p w14:paraId="57BBB294" w14:textId="77777777" w:rsidR="001718E4" w:rsidRPr="002E0771" w:rsidRDefault="001718E4" w:rsidP="001718E4">
            <w:pPr>
              <w:tabs>
                <w:tab w:val="left" w:pos="567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Reprodukciós toxicitás:</w:t>
            </w:r>
            <w:r w:rsidRPr="002E0771">
              <w:rPr>
                <w:sz w:val="18"/>
              </w:rPr>
              <w:t xml:space="preserve"> A termék nem tartalmaz reprodukciós toxicitásúként azonosított összetevőt</w:t>
            </w:r>
          </w:p>
          <w:p w14:paraId="56BEAA69" w14:textId="77777777" w:rsidR="001718E4" w:rsidRPr="002E0771" w:rsidRDefault="001718E4" w:rsidP="001718E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Célszervi toxicitás – egyszeri expozíció</w:t>
            </w:r>
          </w:p>
          <w:p w14:paraId="6B9C6565" w14:textId="77777777" w:rsidR="001718E4" w:rsidRPr="002E0771" w:rsidRDefault="001718E4" w:rsidP="001718E4">
            <w:pPr>
              <w:tabs>
                <w:tab w:val="left" w:pos="567"/>
              </w:tabs>
              <w:spacing w:before="60" w:after="60"/>
              <w:ind w:left="67" w:hanging="67"/>
              <w:rPr>
                <w:rFonts w:cs="Arial"/>
                <w:sz w:val="18"/>
                <w:szCs w:val="18"/>
              </w:rPr>
            </w:pPr>
            <w:r w:rsidRPr="002E0771">
              <w:rPr>
                <w:sz w:val="18"/>
              </w:rPr>
              <w:t xml:space="preserve"> Kevéssé valószínű, hogy a termék rendes alkalmazási és kezelési körülmények között káros következményeket okoz.</w:t>
            </w:r>
          </w:p>
          <w:p w14:paraId="69EAB911" w14:textId="77777777" w:rsidR="001718E4" w:rsidRPr="002E0771" w:rsidRDefault="001718E4" w:rsidP="001718E4">
            <w:pPr>
              <w:tabs>
                <w:tab w:val="left" w:pos="567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 Célszervi toxicitás – ismétlődő expozíció</w:t>
            </w:r>
          </w:p>
          <w:p w14:paraId="6CCAB83C" w14:textId="77777777" w:rsidR="001718E4" w:rsidRPr="002E0771" w:rsidRDefault="001718E4" w:rsidP="001718E4">
            <w:pPr>
              <w:tabs>
                <w:tab w:val="left" w:pos="567"/>
              </w:tabs>
              <w:spacing w:before="60" w:after="60"/>
              <w:ind w:left="67" w:hanging="67"/>
              <w:rPr>
                <w:rFonts w:cs="Arial"/>
                <w:b/>
                <w:sz w:val="18"/>
                <w:szCs w:val="18"/>
                <w:u w:val="single"/>
              </w:rPr>
            </w:pPr>
            <w:r w:rsidRPr="002E0771">
              <w:rPr>
                <w:sz w:val="18"/>
              </w:rPr>
              <w:t xml:space="preserve"> Kevéssé valószínű, hogy a termék rendes alkalmazási és kezelési körülmények között káros következményeket okoz.</w:t>
            </w:r>
            <w:r w:rsidRPr="002E0771">
              <w:rPr>
                <w:b/>
                <w:sz w:val="18"/>
                <w:u w:val="single"/>
              </w:rPr>
              <w:t xml:space="preserve"> </w:t>
            </w:r>
          </w:p>
          <w:p w14:paraId="380AC7B0" w14:textId="77777777" w:rsidR="007132C4" w:rsidRPr="002E0771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109B8860" w14:textId="77777777" w:rsidR="001718E4" w:rsidRPr="002E0771" w:rsidRDefault="001718E4" w:rsidP="001718E4">
            <w:pPr>
              <w:tabs>
                <w:tab w:val="left" w:pos="567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E0771">
              <w:rPr>
                <w:b/>
                <w:sz w:val="18"/>
              </w:rPr>
              <w:t>A valószínű expozíciós utakra vonatkozó információk – FIGYELEM! A termék nem került teljes körben bevizsgálásra</w:t>
            </w:r>
          </w:p>
          <w:p w14:paraId="39CB91C2" w14:textId="77777777" w:rsidR="007132C4" w:rsidRPr="002E0771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>Bőrre kerülése esetén</w:t>
            </w:r>
            <w:r w:rsidRPr="002E0771">
              <w:rPr>
                <w:sz w:val="18"/>
              </w:rPr>
              <w:t xml:space="preserve">: </w:t>
            </w:r>
            <w:r w:rsidRPr="002E0771">
              <w:tab/>
            </w:r>
            <w:r w:rsidRPr="002E0771">
              <w:rPr>
                <w:sz w:val="18"/>
                <w:u w:val="single"/>
              </w:rPr>
              <w:t xml:space="preserve"> a bőrön irritációt, allergiás reakciót okozhat.</w:t>
            </w:r>
          </w:p>
          <w:p w14:paraId="51A392DF" w14:textId="77777777" w:rsidR="001718E4" w:rsidRPr="002E0771" w:rsidRDefault="001718E4" w:rsidP="001718E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>Felszívódás bőrön át:</w:t>
            </w:r>
            <w:r w:rsidRPr="002E0771">
              <w:rPr>
                <w:sz w:val="18"/>
              </w:rPr>
              <w:t xml:space="preserve"> </w:t>
            </w:r>
            <w:r w:rsidRPr="002E0771">
              <w:tab/>
            </w:r>
            <w:r w:rsidRPr="002E0771">
              <w:rPr>
                <w:sz w:val="18"/>
              </w:rPr>
              <w:t xml:space="preserve">               káros hatású lehet bőrön át felszívódva.</w:t>
            </w:r>
          </w:p>
          <w:p w14:paraId="0B465539" w14:textId="77777777" w:rsidR="007132C4" w:rsidRPr="002E0771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Szembe kerülés </w:t>
            </w:r>
            <w:proofErr w:type="gramStart"/>
            <w:r w:rsidRPr="002E0771">
              <w:rPr>
                <w:b/>
                <w:sz w:val="18"/>
              </w:rPr>
              <w:t>esetén:</w:t>
            </w:r>
            <w:r w:rsidRPr="002E0771">
              <w:rPr>
                <w:sz w:val="18"/>
              </w:rPr>
              <w:t xml:space="preserve">   </w:t>
            </w:r>
            <w:proofErr w:type="gramEnd"/>
            <w:r w:rsidRPr="002E0771">
              <w:rPr>
                <w:sz w:val="18"/>
              </w:rPr>
              <w:t xml:space="preserve">             szemirritációt válthat ki.</w:t>
            </w:r>
          </w:p>
          <w:p w14:paraId="244027E0" w14:textId="77777777" w:rsidR="001718E4" w:rsidRPr="002E0771" w:rsidRDefault="001718E4" w:rsidP="001718E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E0771">
              <w:rPr>
                <w:b/>
                <w:sz w:val="18"/>
              </w:rPr>
              <w:t xml:space="preserve">Expozíció a légutakon </w:t>
            </w:r>
            <w:proofErr w:type="gramStart"/>
            <w:r w:rsidRPr="002E0771">
              <w:rPr>
                <w:b/>
                <w:sz w:val="18"/>
              </w:rPr>
              <w:t>keresztül:</w:t>
            </w:r>
            <w:r w:rsidRPr="002E0771">
              <w:rPr>
                <w:sz w:val="18"/>
              </w:rPr>
              <w:t xml:space="preserve">  irritáló</w:t>
            </w:r>
            <w:proofErr w:type="gramEnd"/>
            <w:r w:rsidRPr="002E0771">
              <w:rPr>
                <w:sz w:val="18"/>
              </w:rPr>
              <w:t xml:space="preserve"> hatású lehet a nyálkahártyákra és a felső légutakra.</w:t>
            </w:r>
          </w:p>
          <w:p w14:paraId="4C4690BE" w14:textId="77777777" w:rsidR="007132C4" w:rsidRPr="002E0771" w:rsidRDefault="007132C4" w:rsidP="007132C4">
            <w:pPr>
              <w:tabs>
                <w:tab w:val="left" w:pos="567"/>
              </w:tabs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2E0771">
              <w:rPr>
                <w:b/>
                <w:sz w:val="18"/>
              </w:rPr>
              <w:lastRenderedPageBreak/>
              <w:t>Lenyelés:</w:t>
            </w:r>
            <w:r w:rsidRPr="002E0771">
              <w:rPr>
                <w:sz w:val="18"/>
              </w:rPr>
              <w:t xml:space="preserve">  </w:t>
            </w:r>
            <w:r w:rsidRPr="002E0771">
              <w:rPr>
                <w:sz w:val="18"/>
                <w:u w:val="single"/>
              </w:rPr>
              <w:t>lenyelés</w:t>
            </w:r>
            <w:proofErr w:type="gramEnd"/>
            <w:r w:rsidRPr="002E0771">
              <w:rPr>
                <w:sz w:val="18"/>
                <w:u w:val="single"/>
              </w:rPr>
              <w:t xml:space="preserve"> esetén káros hatású lehet.</w:t>
            </w:r>
          </w:p>
          <w:p w14:paraId="4A2BB718" w14:textId="77777777" w:rsidR="007132C4" w:rsidRPr="002E0771" w:rsidRDefault="007132C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0A1BE70B" w14:textId="77777777" w:rsidR="00165CD8" w:rsidRPr="002E0771" w:rsidRDefault="00165CD8" w:rsidP="0057020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14:paraId="6B7B43DF" w14:textId="77777777" w:rsidR="00165CD8" w:rsidRPr="002E0771" w:rsidRDefault="00165CD8" w:rsidP="0057020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14:paraId="72E7A8A9" w14:textId="77777777" w:rsidR="00277E99" w:rsidRPr="002E0771" w:rsidRDefault="00277E99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</w:rPr>
            </w:pPr>
          </w:p>
          <w:p w14:paraId="3C3E55E7" w14:textId="77777777" w:rsidR="009613E1" w:rsidRPr="002E0771" w:rsidRDefault="009613E1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</w:rPr>
            </w:pPr>
          </w:p>
          <w:p w14:paraId="3E725828" w14:textId="77777777" w:rsidR="00FD1BD9" w:rsidRPr="002E0771" w:rsidRDefault="00FD1BD9" w:rsidP="0057020B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18"/>
                <w:szCs w:val="21"/>
              </w:rPr>
            </w:pPr>
          </w:p>
          <w:p w14:paraId="43ACDD2F" w14:textId="77777777" w:rsidR="00FD1BD9" w:rsidRPr="002E0771" w:rsidRDefault="00FD1BD9" w:rsidP="00FD1BD9">
            <w:pPr>
              <w:rPr>
                <w:rFonts w:eastAsiaTheme="minorHAnsi" w:cs="Arial"/>
                <w:sz w:val="18"/>
                <w:szCs w:val="21"/>
              </w:rPr>
            </w:pPr>
          </w:p>
          <w:p w14:paraId="59AE2811" w14:textId="77777777" w:rsidR="004863DE" w:rsidRPr="002E0771" w:rsidRDefault="00FD1BD9" w:rsidP="00FD1BD9">
            <w:pPr>
              <w:tabs>
                <w:tab w:val="left" w:pos="1372"/>
              </w:tabs>
              <w:rPr>
                <w:rFonts w:eastAsiaTheme="minorHAnsi" w:cs="Arial"/>
                <w:sz w:val="18"/>
                <w:szCs w:val="21"/>
              </w:rPr>
            </w:pPr>
            <w:r w:rsidRPr="002E0771">
              <w:tab/>
            </w:r>
          </w:p>
        </w:tc>
      </w:tr>
      <w:tr w:rsidR="002E0771" w:rsidRPr="002E0771" w14:paraId="7910815A" w14:textId="77777777" w:rsidTr="00070502">
        <w:tc>
          <w:tcPr>
            <w:tcW w:w="10490" w:type="dxa"/>
            <w:gridSpan w:val="4"/>
          </w:tcPr>
          <w:p w14:paraId="119E1822" w14:textId="77777777" w:rsidR="005E2BEF" w:rsidRPr="002E0771" w:rsidRDefault="001718E4" w:rsidP="005E2BEF">
            <w:pPr>
              <w:pStyle w:val="CWHead"/>
              <w:keepNext/>
              <w:keepLines/>
              <w:tabs>
                <w:tab w:val="left" w:pos="1290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12. SZAKASZ ÖKOLÓGIAI INFORMÁCIÓK</w:t>
            </w:r>
          </w:p>
        </w:tc>
      </w:tr>
      <w:tr w:rsidR="002E0771" w:rsidRPr="002E0771" w14:paraId="4565F7EC" w14:textId="77777777" w:rsidTr="00070502">
        <w:tc>
          <w:tcPr>
            <w:tcW w:w="10490" w:type="dxa"/>
            <w:gridSpan w:val="4"/>
          </w:tcPr>
          <w:p w14:paraId="093F51F5" w14:textId="77777777" w:rsidR="004863DE" w:rsidRPr="002E0771" w:rsidRDefault="005E2BEF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12.1. </w:t>
            </w:r>
            <w:r w:rsidRPr="002E0771">
              <w:tab/>
            </w:r>
            <w:r w:rsidRPr="002E0771">
              <w:rPr>
                <w:b/>
                <w:sz w:val="18"/>
              </w:rPr>
              <w:t>Toxicitás</w:t>
            </w:r>
          </w:p>
          <w:p w14:paraId="5D37EC02" w14:textId="77777777" w:rsidR="001C4ADA" w:rsidRPr="002E0771" w:rsidRDefault="001C4ADA" w:rsidP="003F6408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</w:rPr>
            </w:pPr>
            <w:r w:rsidRPr="002E0771">
              <w:tab/>
            </w:r>
            <w:r w:rsidRPr="002E0771">
              <w:rPr>
                <w:sz w:val="18"/>
                <w:u w:val="single"/>
              </w:rPr>
              <w:t>A keveréket érintő adatok:</w:t>
            </w:r>
          </w:p>
        </w:tc>
      </w:tr>
      <w:tr w:rsidR="002E0771" w:rsidRPr="002E0771" w14:paraId="6E223CC9" w14:textId="77777777" w:rsidTr="001718E4">
        <w:trPr>
          <w:gridBefore w:val="1"/>
          <w:wBefore w:w="568" w:type="dxa"/>
        </w:trPr>
        <w:tc>
          <w:tcPr>
            <w:tcW w:w="3719" w:type="dxa"/>
          </w:tcPr>
          <w:p w14:paraId="73E4E17D" w14:textId="77777777" w:rsidR="00774599" w:rsidRPr="002E0771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- édesvízi halak (Oncorhynchus mykiss):</w:t>
            </w:r>
            <w:r w:rsidRPr="002E0771">
              <w:rPr>
                <w:rFonts w:cs="Arial"/>
                <w:bCs/>
                <w:sz w:val="18"/>
              </w:rPr>
              <w:br/>
            </w:r>
            <w:r w:rsidRPr="002E0771">
              <w:rPr>
                <w:sz w:val="18"/>
              </w:rPr>
              <w:t>- nagy vízibolha (Daphnia magna):</w:t>
            </w:r>
            <w:r w:rsidRPr="002E0771">
              <w:rPr>
                <w:rFonts w:cs="Arial"/>
                <w:bCs/>
                <w:sz w:val="18"/>
              </w:rPr>
              <w:br/>
            </w:r>
            <w:r w:rsidRPr="002E0771">
              <w:rPr>
                <w:sz w:val="18"/>
              </w:rPr>
              <w:t xml:space="preserve">- púpos békalencse (Lemna gibba) </w:t>
            </w:r>
          </w:p>
          <w:p w14:paraId="2EAB6090" w14:textId="77777777" w:rsidR="00774599" w:rsidRPr="002E0771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- algák (Anabaena flos-aquae): </w:t>
            </w:r>
          </w:p>
          <w:p w14:paraId="7FA43A5E" w14:textId="77777777" w:rsidR="006E2FF4" w:rsidRPr="002E0771" w:rsidRDefault="006E2FF4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</w:p>
          <w:p w14:paraId="5A6021FB" w14:textId="77777777" w:rsidR="00774599" w:rsidRPr="002E0771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           (Pseudokirchneriella sub.):</w:t>
            </w:r>
          </w:p>
          <w:p w14:paraId="35048183" w14:textId="77777777" w:rsidR="006E2FF4" w:rsidRPr="002E0771" w:rsidRDefault="006E2FF4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</w:p>
          <w:p w14:paraId="08E94494" w14:textId="77777777" w:rsidR="00D76F50" w:rsidRPr="002E0771" w:rsidRDefault="00D76F50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u w:val="single"/>
              </w:rPr>
            </w:pPr>
          </w:p>
          <w:p w14:paraId="77F887E7" w14:textId="77777777" w:rsidR="001718E4" w:rsidRPr="002E0771" w:rsidRDefault="001718E4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u w:val="single"/>
              </w:rPr>
            </w:pPr>
            <w:r w:rsidRPr="002E0771">
              <w:rPr>
                <w:sz w:val="18"/>
                <w:u w:val="single"/>
              </w:rPr>
              <w:t>Akut toxicitás méhekre:</w:t>
            </w:r>
          </w:p>
          <w:p w14:paraId="14829438" w14:textId="77777777" w:rsidR="00774599" w:rsidRPr="002E0771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- szájon át  </w:t>
            </w:r>
          </w:p>
          <w:p w14:paraId="707CE003" w14:textId="77777777" w:rsidR="00774599" w:rsidRPr="002E0771" w:rsidRDefault="00774599" w:rsidP="00275A4F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- kontakt        </w:t>
            </w:r>
          </w:p>
        </w:tc>
        <w:tc>
          <w:tcPr>
            <w:tcW w:w="6203" w:type="dxa"/>
            <w:gridSpan w:val="2"/>
          </w:tcPr>
          <w:p w14:paraId="01AAD1B9" w14:textId="77777777" w:rsidR="00D76F50" w:rsidRPr="002E0771" w:rsidRDefault="00774599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>LC</w:t>
            </w:r>
            <w:r w:rsidRPr="002E0771">
              <w:rPr>
                <w:rFonts w:eastAsiaTheme="minorHAnsi"/>
                <w:snapToGrid/>
                <w:sz w:val="18"/>
                <w:vertAlign w:val="subscript"/>
              </w:rPr>
              <w:t>50</w:t>
            </w:r>
            <w:r w:rsidRPr="002E0771">
              <w:rPr>
                <w:rFonts w:eastAsiaTheme="minorHAnsi"/>
                <w:snapToGrid/>
                <w:sz w:val="18"/>
              </w:rPr>
              <w:t>/96 h = 13.58 mg/L</w:t>
            </w:r>
            <w:r w:rsidRPr="002E0771">
              <w:rPr>
                <w:rFonts w:eastAsiaTheme="minorHAnsi" w:cs="Arial"/>
                <w:snapToGrid/>
                <w:sz w:val="18"/>
              </w:rPr>
              <w:br/>
            </w:r>
            <w:r w:rsidRPr="002E0771">
              <w:rPr>
                <w:rFonts w:eastAsiaTheme="minorHAnsi"/>
                <w:snapToGrid/>
                <w:sz w:val="18"/>
              </w:rPr>
              <w:t>EC50/48 h = 88.33 mg/L</w:t>
            </w:r>
          </w:p>
          <w:p w14:paraId="113C58C9" w14:textId="77777777" w:rsidR="00C42E8F" w:rsidRPr="002E0771" w:rsidRDefault="00016B9A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 xml:space="preserve">ErC50/7d &lt;1 mg/L  </w:t>
            </w:r>
          </w:p>
          <w:p w14:paraId="5326E1CD" w14:textId="77777777" w:rsidR="00C42E8F" w:rsidRPr="002E0771" w:rsidRDefault="006E2FF4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 xml:space="preserve">EyC50/72h &gt;100 mg/L  </w:t>
            </w:r>
          </w:p>
          <w:p w14:paraId="15B14A98" w14:textId="77777777" w:rsidR="006E2FF4" w:rsidRPr="002E0771" w:rsidRDefault="006E2FF4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 xml:space="preserve">ErC50/72h &gt;100 mg/L  </w:t>
            </w:r>
          </w:p>
          <w:p w14:paraId="4D8769E2" w14:textId="77777777" w:rsidR="00D76F50" w:rsidRPr="002E0771" w:rsidRDefault="003F6408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>ErC50/72h &lt;1 mg/L</w:t>
            </w:r>
          </w:p>
          <w:p w14:paraId="5EF5D393" w14:textId="77777777" w:rsidR="00C42E8F" w:rsidRPr="002E0771" w:rsidRDefault="00D76F50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 xml:space="preserve">EyC50/72h &lt;1 mg/L  </w:t>
            </w:r>
          </w:p>
          <w:p w14:paraId="17C28B64" w14:textId="77777777" w:rsidR="00774599" w:rsidRPr="002E0771" w:rsidRDefault="00774599" w:rsidP="00774599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18"/>
              </w:rPr>
            </w:pPr>
          </w:p>
          <w:p w14:paraId="1D6A3EC4" w14:textId="77777777" w:rsidR="003F6408" w:rsidRPr="002E0771" w:rsidRDefault="003F6408" w:rsidP="00774599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2"/>
                <w:szCs w:val="2"/>
              </w:rPr>
            </w:pPr>
          </w:p>
          <w:p w14:paraId="0FF6AAF7" w14:textId="77777777" w:rsidR="00774599" w:rsidRPr="002E0771" w:rsidRDefault="00774599" w:rsidP="00774599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2"/>
                <w:szCs w:val="2"/>
              </w:rPr>
            </w:pPr>
          </w:p>
          <w:p w14:paraId="05097D55" w14:textId="77777777" w:rsidR="00774599" w:rsidRPr="002E0771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</w:p>
          <w:p w14:paraId="5819D0D0" w14:textId="77777777" w:rsidR="00774599" w:rsidRPr="002E0771" w:rsidRDefault="0051478E" w:rsidP="00D76F50">
            <w:pPr>
              <w:widowControl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snapToGrid/>
              </w:rPr>
            </w:pPr>
            <w:r>
              <w:rPr>
                <w:sz w:val="18"/>
              </w:rPr>
              <w:t xml:space="preserve">LD50 &gt; 200 </w:t>
            </w:r>
            <w:r>
              <w:rPr>
                <w:rFonts w:cs="Arial"/>
                <w:sz w:val="18"/>
              </w:rPr>
              <w:t>µ</w:t>
            </w:r>
            <w:r>
              <w:rPr>
                <w:sz w:val="18"/>
              </w:rPr>
              <w:t>g</w:t>
            </w:r>
            <w:r w:rsidR="00774599" w:rsidRPr="002E0771">
              <w:rPr>
                <w:rFonts w:eastAsiaTheme="minorHAnsi"/>
                <w:snapToGrid/>
                <w:sz w:val="18"/>
              </w:rPr>
              <w:t>/méh</w:t>
            </w:r>
          </w:p>
          <w:p w14:paraId="716C9879" w14:textId="77777777" w:rsidR="00774599" w:rsidRPr="002E0771" w:rsidRDefault="00774599" w:rsidP="00275A4F">
            <w:pPr>
              <w:autoSpaceDE w:val="0"/>
              <w:autoSpaceDN w:val="0"/>
              <w:adjustRightInd w:val="0"/>
              <w:spacing w:after="60"/>
              <w:rPr>
                <w:rFonts w:eastAsiaTheme="minorHAnsi" w:cs="Arial"/>
                <w:snapToGrid/>
                <w:sz w:val="18"/>
              </w:rPr>
            </w:pPr>
            <w:r w:rsidRPr="002E0771">
              <w:rPr>
                <w:sz w:val="18"/>
              </w:rPr>
              <w:t xml:space="preserve">LD50 &gt; </w:t>
            </w:r>
            <w:r w:rsidR="0051478E" w:rsidRPr="0051478E">
              <w:rPr>
                <w:sz w:val="18"/>
              </w:rPr>
              <w:t>200 µg/méh</w:t>
            </w:r>
          </w:p>
        </w:tc>
      </w:tr>
      <w:tr w:rsidR="002E0771" w:rsidRPr="002E0771" w14:paraId="6AE2977D" w14:textId="77777777" w:rsidTr="001F261F">
        <w:trPr>
          <w:trHeight w:val="2471"/>
        </w:trPr>
        <w:tc>
          <w:tcPr>
            <w:tcW w:w="10490" w:type="dxa"/>
            <w:gridSpan w:val="4"/>
          </w:tcPr>
          <w:p w14:paraId="3282DB57" w14:textId="77777777" w:rsidR="00774599" w:rsidRPr="002E0771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12.2. </w:t>
            </w:r>
            <w:r w:rsidRPr="002E0771">
              <w:tab/>
            </w:r>
            <w:r w:rsidRPr="002E0771">
              <w:rPr>
                <w:b/>
                <w:sz w:val="18"/>
              </w:rPr>
              <w:t>Perzisztencia és lebonthatóság</w:t>
            </w:r>
          </w:p>
          <w:p w14:paraId="612556DF" w14:textId="77777777" w:rsidR="00774599" w:rsidRPr="002E0771" w:rsidRDefault="002F1AA2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 xml:space="preserve"> Biológiailag nem bomlik le.</w:t>
            </w:r>
          </w:p>
          <w:p w14:paraId="708280AD" w14:textId="77777777" w:rsidR="00774599" w:rsidRPr="002E0771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12.3. </w:t>
            </w:r>
            <w:r w:rsidRPr="002E0771">
              <w:tab/>
            </w:r>
            <w:r w:rsidRPr="002E0771">
              <w:rPr>
                <w:b/>
                <w:sz w:val="18"/>
              </w:rPr>
              <w:t>Bioakkumulációs képesség</w:t>
            </w:r>
          </w:p>
          <w:p w14:paraId="598F5A9E" w14:textId="77777777" w:rsidR="00774599" w:rsidRPr="002E0771" w:rsidRDefault="001718E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Nincs hozzáférhető adat a Flufenacetről.</w:t>
            </w:r>
          </w:p>
          <w:p w14:paraId="6B943D48" w14:textId="77777777" w:rsidR="00774599" w:rsidRPr="002E0771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12.4.</w:t>
            </w:r>
            <w:r w:rsidRPr="002E0771">
              <w:tab/>
            </w:r>
            <w:r w:rsidRPr="002E0771">
              <w:rPr>
                <w:b/>
                <w:sz w:val="18"/>
              </w:rPr>
              <w:t>Mozgékonysága talajban</w:t>
            </w:r>
          </w:p>
          <w:p w14:paraId="30FFE3DA" w14:textId="77777777" w:rsidR="00774599" w:rsidRPr="002E0771" w:rsidRDefault="001718E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Nincs hozzáférhető adat a Flufenacetről.</w:t>
            </w:r>
          </w:p>
          <w:p w14:paraId="63D4DCDD" w14:textId="77777777" w:rsidR="001718E4" w:rsidRPr="002E0771" w:rsidRDefault="00774599" w:rsidP="001718E4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</w:rPr>
            </w:pPr>
            <w:r w:rsidRPr="002E0771">
              <w:rPr>
                <w:b/>
                <w:sz w:val="18"/>
              </w:rPr>
              <w:t>12.5.</w:t>
            </w:r>
            <w:r w:rsidRPr="002E0771">
              <w:tab/>
            </w:r>
            <w:r w:rsidRPr="002E0771">
              <w:rPr>
                <w:b/>
                <w:sz w:val="18"/>
              </w:rPr>
              <w:t>A PBT- és a vPvB-értékelés eredményei</w:t>
            </w:r>
          </w:p>
          <w:p w14:paraId="7829ECBD" w14:textId="77777777" w:rsidR="001718E4" w:rsidRPr="002E0771" w:rsidRDefault="001718E4" w:rsidP="001718E4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A keverék egyetlen alkotója sincs felvéve az ECHA jelöltlistára PBT vagy vPvB tulajdonság miatt.</w:t>
            </w:r>
          </w:p>
          <w:p w14:paraId="7B6C026C" w14:textId="77777777" w:rsidR="001718E4" w:rsidRPr="002E0771" w:rsidRDefault="001718E4" w:rsidP="001718E4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 w:rsidRPr="002E0771">
              <w:rPr>
                <w:b/>
                <w:sz w:val="18"/>
              </w:rPr>
              <w:t>12.6.    Egyéb káros hatások</w:t>
            </w:r>
          </w:p>
          <w:p w14:paraId="79A5DB7F" w14:textId="77777777" w:rsidR="00774599" w:rsidRPr="002E0771" w:rsidRDefault="001718E4" w:rsidP="001718E4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2E0771">
              <w:rPr>
                <w:sz w:val="18"/>
              </w:rPr>
              <w:t>Nem ismeretesek a keverék egyéb káros hatására utaló adatok.</w:t>
            </w:r>
          </w:p>
        </w:tc>
      </w:tr>
    </w:tbl>
    <w:p w14:paraId="11DA7619" w14:textId="77777777" w:rsidR="004863DE" w:rsidRPr="002E0771" w:rsidRDefault="004863DE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386D1278" w14:textId="77777777" w:rsidTr="00070502">
        <w:tc>
          <w:tcPr>
            <w:tcW w:w="10490" w:type="dxa"/>
            <w:shd w:val="clear" w:color="auto" w:fill="auto"/>
          </w:tcPr>
          <w:p w14:paraId="04F14EEA" w14:textId="77777777" w:rsidR="00552729" w:rsidRPr="002E0771" w:rsidRDefault="008932DF" w:rsidP="00552729">
            <w:pPr>
              <w:pStyle w:val="CWHead"/>
              <w:keepNext/>
              <w:keepLines/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13. SZAKASZ HULLADÉKKEZELÉS</w:t>
            </w:r>
          </w:p>
        </w:tc>
      </w:tr>
      <w:tr w:rsidR="002E0771" w:rsidRPr="002E0771" w14:paraId="719249E0" w14:textId="77777777" w:rsidTr="00070502">
        <w:trPr>
          <w:trHeight w:val="472"/>
        </w:trPr>
        <w:tc>
          <w:tcPr>
            <w:tcW w:w="10490" w:type="dxa"/>
            <w:shd w:val="clear" w:color="auto" w:fill="auto"/>
          </w:tcPr>
          <w:p w14:paraId="4B6A468E" w14:textId="77777777" w:rsidR="008932DF" w:rsidRPr="002E0771" w:rsidRDefault="00ED3E3C" w:rsidP="008932D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13.1. </w:t>
            </w:r>
            <w:r w:rsidRPr="002E0771">
              <w:tab/>
            </w:r>
            <w:r w:rsidRPr="002E0771">
              <w:rPr>
                <w:b/>
                <w:sz w:val="18"/>
              </w:rPr>
              <w:t>Hulladékkezelési módszerek</w:t>
            </w:r>
          </w:p>
          <w:p w14:paraId="4721A1EF" w14:textId="77777777" w:rsidR="008932DF" w:rsidRPr="002E0771" w:rsidRDefault="008932DF" w:rsidP="008932DF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u w:val="single"/>
              </w:rPr>
            </w:pPr>
            <w:r w:rsidRPr="002E0771">
              <w:rPr>
                <w:b/>
                <w:sz w:val="18"/>
              </w:rPr>
              <w:t xml:space="preserve">            </w:t>
            </w:r>
            <w:r w:rsidRPr="002E0771">
              <w:rPr>
                <w:sz w:val="18"/>
                <w:u w:val="single"/>
              </w:rPr>
              <w:t>A szer maradékainak ártalmatlanítása:</w:t>
            </w:r>
          </w:p>
          <w:p w14:paraId="704E1A53" w14:textId="77777777" w:rsidR="008932DF" w:rsidRPr="002E0771" w:rsidRDefault="008932DF" w:rsidP="008932DF">
            <w:pPr>
              <w:autoSpaceDE w:val="0"/>
              <w:autoSpaceDN w:val="0"/>
              <w:adjustRightInd w:val="0"/>
              <w:ind w:left="601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 xml:space="preserve">A hulladékok és az egyszer használatos csomagolások ártalmatlanításával erre szakosodott vállalatok kötelesek, az ártalmatlanítás módját egyeztetni kell a területileg illetékes környezetvédelmi hatósággal. A csomagolásokat veszélyes hulladékként kell kezelni. Csatornába nem kerülhet! Meg kell akadályozni a felszíni vizekbe (tavakba, vízfolyásokba, meliorációs árkokba) jutását. A maradékokat az eredeti edényekben kell tárolni. Az érvényes előírások betartásával kell ártalmatlanítani. </w:t>
            </w:r>
          </w:p>
          <w:p w14:paraId="7F54CD72" w14:textId="77777777" w:rsidR="008932DF" w:rsidRPr="002E0771" w:rsidRDefault="008932DF" w:rsidP="008932DF">
            <w:pPr>
              <w:autoSpaceDE w:val="0"/>
              <w:autoSpaceDN w:val="0"/>
              <w:adjustRightInd w:val="0"/>
              <w:ind w:left="601"/>
              <w:rPr>
                <w:rFonts w:cs="Arial"/>
                <w:sz w:val="16"/>
                <w:szCs w:val="16"/>
              </w:rPr>
            </w:pPr>
            <w:r w:rsidRPr="002E0771">
              <w:rPr>
                <w:sz w:val="16"/>
              </w:rPr>
              <w:t>Európai hulladékkódja (European Waste Code): 02 01 08 veszélyes anyagokat tartalmazó mezőgazdasági vegyi hulladékok, ezen belül I. és II. osztályú (nagyon mérgező és mérgező) növényvédő szerek.</w:t>
            </w:r>
          </w:p>
          <w:p w14:paraId="735A92CF" w14:textId="77777777" w:rsidR="008932DF" w:rsidRPr="002E0771" w:rsidRDefault="008932DF" w:rsidP="008932DF">
            <w:pPr>
              <w:ind w:left="601"/>
              <w:jc w:val="both"/>
              <w:rPr>
                <w:rFonts w:cs="Arial"/>
                <w:sz w:val="16"/>
                <w:szCs w:val="16"/>
              </w:rPr>
            </w:pPr>
          </w:p>
          <w:p w14:paraId="74BF0DE6" w14:textId="77777777" w:rsidR="008932DF" w:rsidRPr="002E0771" w:rsidRDefault="008932DF" w:rsidP="008932DF">
            <w:pPr>
              <w:ind w:left="601"/>
              <w:jc w:val="both"/>
              <w:rPr>
                <w:rFonts w:cs="Arial"/>
                <w:sz w:val="18"/>
                <w:szCs w:val="22"/>
                <w:u w:val="single"/>
              </w:rPr>
            </w:pPr>
            <w:r w:rsidRPr="002E0771">
              <w:rPr>
                <w:sz w:val="18"/>
                <w:u w:val="single"/>
              </w:rPr>
              <w:t>A csomagolások ártalmatlanítása:</w:t>
            </w:r>
          </w:p>
          <w:p w14:paraId="608536C0" w14:textId="77777777" w:rsidR="00E8397E" w:rsidRPr="002E0771" w:rsidRDefault="008932DF" w:rsidP="008932DF">
            <w:pPr>
              <w:ind w:left="601"/>
              <w:jc w:val="both"/>
              <w:rPr>
                <w:rFonts w:cs="Arial"/>
                <w:sz w:val="18"/>
                <w:szCs w:val="22"/>
              </w:rPr>
            </w:pPr>
            <w:r w:rsidRPr="002E0771">
              <w:rPr>
                <w:sz w:val="18"/>
              </w:rPr>
              <w:t>A kiürült csomagolásokat háromszorosan öblítse ki vízzel, az öblítővizet öntse a permetlét tartalmazó tartályba. Tilos a kiürült növényvédő szer csomagolások más célra történő felhasználása, valamint azok másodlagos nyersanyagként kezelése. A szer kiürült csomagolásait szolgáltassa vissza ahhoz az eladóhoz, akitől a szert vásárolta. Veszélyes hulladékként kell ártalmatlanítani.</w:t>
            </w:r>
          </w:p>
        </w:tc>
      </w:tr>
    </w:tbl>
    <w:p w14:paraId="14290652" w14:textId="77777777" w:rsidR="00552729" w:rsidRPr="002E0771" w:rsidRDefault="00552729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4284888B" w14:textId="77777777" w:rsidTr="00070502">
        <w:tc>
          <w:tcPr>
            <w:tcW w:w="10490" w:type="dxa"/>
          </w:tcPr>
          <w:p w14:paraId="04E439A8" w14:textId="77777777" w:rsidR="007D5E3C" w:rsidRPr="002E0771" w:rsidRDefault="008932DF" w:rsidP="00560492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14. SZAKASZ SZÁLLÍTÁSRA VONATKOZÓ INFORMÁCIÓK</w:t>
            </w:r>
          </w:p>
        </w:tc>
      </w:tr>
      <w:tr w:rsidR="002E0771" w:rsidRPr="002E0771" w14:paraId="0D0B21D7" w14:textId="77777777" w:rsidTr="00070502">
        <w:tc>
          <w:tcPr>
            <w:tcW w:w="10490" w:type="dxa"/>
          </w:tcPr>
          <w:p w14:paraId="71772445" w14:textId="77777777" w:rsidR="008932DF" w:rsidRPr="002E0771" w:rsidRDefault="008932DF" w:rsidP="008932DF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</w:rPr>
            </w:pPr>
            <w:r w:rsidRPr="002E0771">
              <w:rPr>
                <w:sz w:val="18"/>
                <w:u w:val="single"/>
              </w:rPr>
              <w:t>Szárazföldi szállítás ADR/RID</w:t>
            </w:r>
            <w:r w:rsidRPr="002E0771">
              <w:rPr>
                <w:sz w:val="18"/>
              </w:rPr>
              <w:t>:</w:t>
            </w:r>
          </w:p>
          <w:p w14:paraId="02B75ADD" w14:textId="77777777" w:rsidR="00B645D6" w:rsidRPr="002E0771" w:rsidRDefault="00B645D6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2E0771">
              <w:rPr>
                <w:b/>
                <w:sz w:val="18"/>
              </w:rPr>
              <w:t xml:space="preserve">14.1. </w:t>
            </w:r>
            <w:r w:rsidRPr="002E0771">
              <w:tab/>
            </w:r>
            <w:r w:rsidRPr="002E0771">
              <w:rPr>
                <w:b/>
                <w:sz w:val="18"/>
              </w:rPr>
              <w:t>UN-szám:</w:t>
            </w:r>
            <w:r w:rsidRPr="002E0771">
              <w:rPr>
                <w:sz w:val="18"/>
              </w:rPr>
              <w:t xml:space="preserve"> UN3082</w:t>
            </w:r>
          </w:p>
          <w:p w14:paraId="4F25840F" w14:textId="77777777" w:rsidR="00B645D6" w:rsidRPr="002E0771" w:rsidRDefault="00B645D6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Az ADR rendelet 3.3.1 fejezete 375. sz. különleges előírása alapján ezek az anyagok, ha önálló csomagolóeszközben vagy kombinált csomagolásban szállítják, és az önálló csomagolóeszköz, ill. a kombinált csomagolás minden belső csomagolóeszköze legfeljebb 5 liter folyékony anyagot tartalmaz, valamint a csomagolóeszköz megfelel a 4.1.1.1, a 4.1.1.2 és a 4.1.1.4 – 4.1.1.8 bekezdés általános előírásainak, nem tartoznak az ADR többi előírásainak hatálya alá</w:t>
            </w:r>
          </w:p>
          <w:p w14:paraId="6D4820FF" w14:textId="77777777" w:rsidR="00B645D6" w:rsidRPr="002E0771" w:rsidRDefault="00B645D6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2E0771">
              <w:rPr>
                <w:b/>
                <w:sz w:val="18"/>
              </w:rPr>
              <w:t xml:space="preserve">14.2. </w:t>
            </w:r>
            <w:r w:rsidRPr="002E0771">
              <w:tab/>
            </w:r>
            <w:r w:rsidRPr="002E0771">
              <w:rPr>
                <w:b/>
                <w:sz w:val="18"/>
              </w:rPr>
              <w:t>Az ENSZ szerinti megfelelő szállítási megnevezés:</w:t>
            </w:r>
          </w:p>
          <w:p w14:paraId="0326B68D" w14:textId="77777777" w:rsidR="00B645D6" w:rsidRPr="002E0771" w:rsidRDefault="00B645D6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t>ADR: KÖRNYEZETRE VESZÉLYES FOLYÉKONY ANYAG, M.N.N.</w:t>
            </w:r>
          </w:p>
          <w:p w14:paraId="7F35DF83" w14:textId="77777777" w:rsidR="00B645D6" w:rsidRPr="002E0771" w:rsidRDefault="00B645D6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2E0771">
              <w:rPr>
                <w:sz w:val="18"/>
              </w:rPr>
              <w:lastRenderedPageBreak/>
              <w:t>RID: KÖRNYEZETRE VESZÉLYES FOLYÉKONY ANYAG, M.N.N.</w:t>
            </w:r>
          </w:p>
          <w:p w14:paraId="50CCAFCF" w14:textId="77777777" w:rsidR="008932DF" w:rsidRPr="002E0771" w:rsidRDefault="008932DF" w:rsidP="008932DF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</w:rPr>
            </w:pPr>
            <w:r w:rsidRPr="002E0771">
              <w:rPr>
                <w:b/>
                <w:sz w:val="18"/>
              </w:rPr>
              <w:t xml:space="preserve">14.3. </w:t>
            </w:r>
            <w:r w:rsidRPr="002E0771">
              <w:tab/>
            </w:r>
            <w:r w:rsidRPr="002E0771">
              <w:rPr>
                <w:b/>
                <w:sz w:val="18"/>
              </w:rPr>
              <w:t>Szállítási veszélyességi osztály(ok):</w:t>
            </w:r>
            <w:r w:rsidRPr="002E0771">
              <w:rPr>
                <w:sz w:val="18"/>
              </w:rPr>
              <w:t xml:space="preserve"> 9 / M6</w:t>
            </w:r>
          </w:p>
          <w:p w14:paraId="5781757C" w14:textId="77777777" w:rsidR="008932DF" w:rsidRPr="002E0771" w:rsidRDefault="008932DF" w:rsidP="008932DF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2E0771">
              <w:rPr>
                <w:b/>
                <w:sz w:val="18"/>
              </w:rPr>
              <w:t>14.4.</w:t>
            </w:r>
            <w:r w:rsidRPr="002E0771">
              <w:tab/>
            </w:r>
            <w:r w:rsidRPr="002E0771">
              <w:rPr>
                <w:b/>
                <w:snapToGrid/>
                <w:sz w:val="18"/>
              </w:rPr>
              <w:t>Csomagolási csoport:</w:t>
            </w:r>
            <w:r w:rsidRPr="002E0771">
              <w:rPr>
                <w:snapToGrid/>
                <w:sz w:val="18"/>
              </w:rPr>
              <w:t xml:space="preserve"> </w:t>
            </w:r>
            <w:r w:rsidRPr="002E0771">
              <w:rPr>
                <w:sz w:val="18"/>
              </w:rPr>
              <w:t>III</w:t>
            </w:r>
          </w:p>
          <w:p w14:paraId="1C84F55C" w14:textId="77777777" w:rsidR="00B645D6" w:rsidRPr="002E0771" w:rsidRDefault="008932DF" w:rsidP="00B645D6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 xml:space="preserve">14.5. </w:t>
            </w:r>
            <w:r w:rsidRPr="002E0771">
              <w:tab/>
            </w:r>
            <w:r w:rsidRPr="002E0771">
              <w:rPr>
                <w:b/>
                <w:sz w:val="18"/>
              </w:rPr>
              <w:t>Környezeti veszélyek:</w:t>
            </w:r>
            <w:r w:rsidRPr="002E0771">
              <w:rPr>
                <w:sz w:val="18"/>
              </w:rPr>
              <w:t xml:space="preserve"> igen</w:t>
            </w:r>
          </w:p>
          <w:p w14:paraId="33C57FB2" w14:textId="77777777" w:rsidR="008932DF" w:rsidRPr="002E0771" w:rsidRDefault="008932DF" w:rsidP="008932DF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>14.6.</w:t>
            </w:r>
            <w:r w:rsidRPr="002E0771">
              <w:tab/>
            </w:r>
            <w:r w:rsidRPr="002E0771">
              <w:rPr>
                <w:b/>
                <w:sz w:val="18"/>
              </w:rPr>
              <w:t>A felhasználót érintő különleges óvintézkedések:</w:t>
            </w:r>
            <w:r w:rsidRPr="002E0771">
              <w:rPr>
                <w:sz w:val="18"/>
              </w:rPr>
              <w:t xml:space="preserve"> nincs </w:t>
            </w:r>
          </w:p>
          <w:p w14:paraId="3AC0AF20" w14:textId="77777777" w:rsidR="007D5E3C" w:rsidRPr="002E0771" w:rsidRDefault="008932DF" w:rsidP="008932DF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 w:rsidRPr="002E0771">
              <w:rPr>
                <w:b/>
                <w:sz w:val="18"/>
              </w:rPr>
              <w:t>14.7.</w:t>
            </w:r>
            <w:r w:rsidRPr="002E0771">
              <w:tab/>
            </w:r>
            <w:r w:rsidRPr="002E0771">
              <w:rPr>
                <w:b/>
                <w:sz w:val="18"/>
              </w:rPr>
              <w:t>A MARPOL 73/78 II. melléklete és az IBC kódex szerinti ömlesztett szállítás:</w:t>
            </w:r>
            <w:r w:rsidRPr="002E0771">
              <w:rPr>
                <w:sz w:val="18"/>
              </w:rPr>
              <w:t xml:space="preserve"> Nincs információ.</w:t>
            </w:r>
            <w:r w:rsidRPr="002E0771">
              <w:rPr>
                <w:rFonts w:cs="Arial"/>
                <w:sz w:val="18"/>
              </w:rPr>
              <w:br/>
            </w:r>
          </w:p>
        </w:tc>
      </w:tr>
      <w:tr w:rsidR="002E0771" w:rsidRPr="002E0771" w14:paraId="390BD254" w14:textId="77777777" w:rsidTr="00070502">
        <w:tc>
          <w:tcPr>
            <w:tcW w:w="10490" w:type="dxa"/>
          </w:tcPr>
          <w:p w14:paraId="7F1DE5F5" w14:textId="77777777" w:rsidR="00CF0DBB" w:rsidRPr="002E0771" w:rsidRDefault="008932DF" w:rsidP="00CF0DBB">
            <w:pPr>
              <w:pStyle w:val="CWHead"/>
              <w:keepNext/>
              <w:keepLines/>
              <w:tabs>
                <w:tab w:val="left" w:pos="1310"/>
                <w:tab w:val="left" w:pos="6428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lastRenderedPageBreak/>
              <w:t>15. SZAKASZ JOGSZABÁLYI INFORMÁCIÓK</w:t>
            </w:r>
          </w:p>
        </w:tc>
      </w:tr>
      <w:tr w:rsidR="002E0771" w:rsidRPr="002E0771" w14:paraId="7A4F474B" w14:textId="77777777" w:rsidTr="008932DF">
        <w:trPr>
          <w:trHeight w:val="1966"/>
        </w:trPr>
        <w:tc>
          <w:tcPr>
            <w:tcW w:w="10490" w:type="dxa"/>
          </w:tcPr>
          <w:p w14:paraId="1590B0C4" w14:textId="77777777" w:rsidR="008932DF" w:rsidRPr="002E0771" w:rsidRDefault="00D37B1D" w:rsidP="008932DF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cs="EUAlbertina"/>
                <w:bCs/>
                <w:sz w:val="18"/>
                <w:szCs w:val="17"/>
              </w:rPr>
            </w:pPr>
            <w:r w:rsidRPr="002E0771">
              <w:rPr>
                <w:b/>
                <w:sz w:val="18"/>
              </w:rPr>
              <w:t xml:space="preserve">15.1. </w:t>
            </w:r>
            <w:r w:rsidRPr="002E0771">
              <w:tab/>
            </w:r>
            <w:r w:rsidRPr="002E0771">
              <w:rPr>
                <w:sz w:val="18"/>
                <w:u w:val="single"/>
              </w:rPr>
              <w:t>Jogszabályok:</w:t>
            </w:r>
          </w:p>
          <w:p w14:paraId="6ADA1748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 w:rsidRPr="002E0771">
              <w:rPr>
                <w:rFonts w:eastAsiaTheme="minorHAnsi"/>
                <w:snapToGrid/>
                <w:sz w:val="16"/>
              </w:rPr>
              <w:t>Az Európai Parlament és a Tanács 1907/2006/EK rendelete (2006. december 18.) a vegyi anyagok regisztrálásáról, értékeléséről, engedélyezéséről és korlátozásáról (REACH), az Európai Vegyianyag-ügynökség létrehozásáról, az 1999/45/EK irányelv módosításáról, valamint a 793/93/EGK tanácsi rendelet, az 1488/94/EK bizottsági rendelet, a 76/769/EGK tanácsi irányelv, a 91/155/EGK, a 93/67/EGK, a 93/105/EK és a 2000/21/EK bizottsági irányelv hatályon kívül helyezéséről (EU Hivatalos Lap L 396, a későbbi módosításokkal)</w:t>
            </w:r>
          </w:p>
          <w:p w14:paraId="4BBC1B51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 w:rsidRPr="002E0771">
              <w:rPr>
                <w:rFonts w:eastAsiaTheme="minorHAnsi"/>
                <w:snapToGrid/>
                <w:sz w:val="16"/>
              </w:rPr>
              <w:t>Az Európai Parlament és a Tanács 1272/2008/EK rendelete (2008. december 16.) az anyagok és keverékek osztályozásáról, címkézéséről és csomagolásáról, a 67/548/EGK és az 1999/45/EK irányelv módosításáról és hatályon kívül helyezéséről, valamint az 1907/2006/EK rendelet módosításáról (EU Hivatalos Lap L 353, a későbbi módosításokkal)</w:t>
            </w:r>
          </w:p>
          <w:p w14:paraId="0A70DD80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 w:rsidRPr="002E0771">
              <w:rPr>
                <w:snapToGrid/>
                <w:sz w:val="16"/>
              </w:rPr>
              <w:t xml:space="preserve">AZ EURÓPAI PARLAMENT ÉS A TANÁCS 1999. MÁJUS 31-I 1999/45/EK IRÁNYELVE a Tagállamoknak a veszélyes készítmények osztályozására, csomagolására és címkézésére vonatkozó törvényi, rendeleti és közigazgatási rendelkezéseinek közelítéséről (EK Hivatalos Lap L 200, a későbbi módosításokkal) </w:t>
            </w:r>
          </w:p>
          <w:p w14:paraId="26EE40A2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 w:rsidRPr="002E0771">
              <w:rPr>
                <w:snapToGrid/>
                <w:sz w:val="16"/>
              </w:rPr>
              <w:t>A Veszélyes Áruk Nemzetközi Közúti Szállításáról szóló Európai Megállapodás (ADR), a 2011. 01. 01-től érvényes változat</w:t>
            </w:r>
          </w:p>
          <w:p w14:paraId="1D32451F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  <w:szCs w:val="16"/>
              </w:rPr>
            </w:pPr>
            <w:r w:rsidRPr="002E0771">
              <w:rPr>
                <w:sz w:val="16"/>
              </w:rPr>
              <w:t>A Tanács 91/689/EGK irányelve a veszélyes hulladékokról, a Bizottság 2000/532/EK (2000. május 3.) határozata a hulladékjegyzék meghatározásáról (Hivatalos Lap L 226/3, 2000. szeptember 6., a módosító határozatokkal)</w:t>
            </w:r>
          </w:p>
          <w:p w14:paraId="2C926791" w14:textId="77777777" w:rsidR="008932DF" w:rsidRPr="002E0771" w:rsidRDefault="008932DF" w:rsidP="008932DF">
            <w:pPr>
              <w:pStyle w:val="Listaszerbekezds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 w:rsidRPr="002E0771">
              <w:rPr>
                <w:rFonts w:eastAsiaTheme="minorHAnsi"/>
                <w:snapToGrid/>
                <w:sz w:val="16"/>
              </w:rPr>
              <w:t xml:space="preserve">Az Európai Parlament és a Tanács 1107/2009/EK rendelete (2009. október 21.) a növényvédő szerek forgalomba </w:t>
            </w:r>
            <w:proofErr w:type="gramStart"/>
            <w:r w:rsidRPr="002E0771">
              <w:rPr>
                <w:rFonts w:eastAsiaTheme="minorHAnsi"/>
                <w:snapToGrid/>
                <w:sz w:val="16"/>
              </w:rPr>
              <w:t>hozataláról</w:t>
            </w:r>
            <w:proofErr w:type="gramEnd"/>
            <w:r w:rsidRPr="002E0771">
              <w:rPr>
                <w:rFonts w:eastAsiaTheme="minorHAnsi"/>
                <w:snapToGrid/>
                <w:sz w:val="16"/>
              </w:rPr>
              <w:t xml:space="preserve"> valamint a 79/117/EGK és a 91/414/EGK tanácsi irányelvek hatályon kívül helyezéséről</w:t>
            </w:r>
          </w:p>
          <w:p w14:paraId="079BED16" w14:textId="77777777" w:rsidR="008932DF" w:rsidRPr="002E0771" w:rsidRDefault="008932DF" w:rsidP="008932DF">
            <w:pPr>
              <w:pStyle w:val="Listaszerbekezds"/>
              <w:widowControl/>
              <w:autoSpaceDE w:val="0"/>
              <w:autoSpaceDN w:val="0"/>
              <w:adjustRightInd w:val="0"/>
              <w:ind w:left="885"/>
              <w:jc w:val="both"/>
              <w:rPr>
                <w:rFonts w:eastAsiaTheme="minorHAnsi" w:cs="Arial"/>
                <w:bCs/>
                <w:snapToGrid/>
                <w:sz w:val="16"/>
              </w:rPr>
            </w:pPr>
          </w:p>
          <w:p w14:paraId="03E31C71" w14:textId="77777777" w:rsidR="008932DF" w:rsidRPr="002E0771" w:rsidRDefault="008932DF" w:rsidP="008932DF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Arial"/>
                <w:b/>
                <w:bCs/>
                <w:snapToGrid/>
                <w:sz w:val="18"/>
              </w:rPr>
            </w:pPr>
            <w:r w:rsidRPr="002E0771">
              <w:rPr>
                <w:rFonts w:eastAsiaTheme="minorHAnsi"/>
                <w:b/>
                <w:snapToGrid/>
                <w:sz w:val="18"/>
              </w:rPr>
              <w:t>15.2. Kémiai biztonsági értékelés</w:t>
            </w:r>
          </w:p>
          <w:p w14:paraId="3AC6DE69" w14:textId="77777777" w:rsidR="008E234E" w:rsidRPr="002E0771" w:rsidRDefault="008932DF" w:rsidP="008932DF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eastAsiaTheme="minorHAnsi" w:cs="Arial"/>
                <w:bCs/>
                <w:snapToGrid/>
                <w:sz w:val="18"/>
              </w:rPr>
            </w:pPr>
            <w:r w:rsidRPr="002E0771">
              <w:rPr>
                <w:rFonts w:eastAsiaTheme="minorHAnsi"/>
                <w:snapToGrid/>
                <w:sz w:val="18"/>
              </w:rPr>
              <w:t>Nem megkövetelt.</w:t>
            </w:r>
          </w:p>
        </w:tc>
      </w:tr>
    </w:tbl>
    <w:p w14:paraId="4E6F10B1" w14:textId="77777777" w:rsidR="00F64FE2" w:rsidRPr="002E0771" w:rsidRDefault="00F64FE2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E0771" w:rsidRPr="002E0771" w14:paraId="53507602" w14:textId="77777777" w:rsidTr="00F71B0B">
        <w:trPr>
          <w:trHeight w:val="506"/>
        </w:trPr>
        <w:tc>
          <w:tcPr>
            <w:tcW w:w="10490" w:type="dxa"/>
          </w:tcPr>
          <w:p w14:paraId="15E0274D" w14:textId="77777777" w:rsidR="00E31187" w:rsidRPr="002E0771" w:rsidRDefault="008932DF" w:rsidP="001D41CB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2E0771">
              <w:rPr>
                <w:rFonts w:ascii="Arial" w:hAnsi="Arial"/>
                <w:sz w:val="22"/>
              </w:rPr>
              <w:t>16. SZAKASZ EGYÉB INFORMÁCIÓK</w:t>
            </w:r>
          </w:p>
        </w:tc>
      </w:tr>
      <w:tr w:rsidR="002E0771" w:rsidRPr="002E0771" w14:paraId="634BB0A4" w14:textId="77777777" w:rsidTr="00F71B0B">
        <w:tc>
          <w:tcPr>
            <w:tcW w:w="10490" w:type="dxa"/>
          </w:tcPr>
          <w:p w14:paraId="50CC1E0A" w14:textId="77777777" w:rsidR="004C2F43" w:rsidRPr="002E0771" w:rsidRDefault="004C2F43" w:rsidP="004C2F43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2E0771">
              <w:rPr>
                <w:rFonts w:ascii="Arial" w:hAnsi="Arial"/>
                <w:i w:val="0"/>
                <w:sz w:val="18"/>
                <w:u w:val="single"/>
              </w:rPr>
              <w:t>Az Adatlap frissítése során átvezetett módosítások:</w:t>
            </w:r>
          </w:p>
          <w:p w14:paraId="41A95461" w14:textId="77777777" w:rsidR="004C2F43" w:rsidRPr="002E0771" w:rsidRDefault="004D7EAE" w:rsidP="004C2F43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8"/>
              </w:rPr>
            </w:pPr>
            <w:r w:rsidRPr="004D7EAE">
              <w:rPr>
                <w:rFonts w:ascii="Arial" w:hAnsi="Arial"/>
                <w:i w:val="0"/>
                <w:sz w:val="18"/>
              </w:rPr>
              <w:t>Az 1.3. És 3.2. Szakasz frissítése</w:t>
            </w:r>
          </w:p>
          <w:p w14:paraId="1816D28D" w14:textId="77777777" w:rsidR="004C2F43" w:rsidRPr="002E0771" w:rsidRDefault="004C2F43" w:rsidP="004C2F43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14:paraId="3E981F60" w14:textId="77777777" w:rsidR="004C2F43" w:rsidRPr="002E0771" w:rsidRDefault="004C2F43" w:rsidP="004C2F43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2E0771">
              <w:rPr>
                <w:rFonts w:ascii="Arial" w:hAnsi="Arial"/>
                <w:i w:val="0"/>
                <w:sz w:val="18"/>
                <w:u w:val="single"/>
              </w:rPr>
              <w:t>Az Adatlap kidolgozásához felhasznált adatok forrásai:</w:t>
            </w:r>
          </w:p>
          <w:p w14:paraId="6CF86988" w14:textId="77777777" w:rsidR="004C2F43" w:rsidRPr="002E0771" w:rsidRDefault="004C2F43" w:rsidP="004C2F43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Az adatlap a gyártó saját vizsgálatai, a formula alkotóelemeinek gyártóitól származó adatok, valamint a formula alkotóelemeit érintő, európai szinten hozzáférhető adatok alapján került kidolgozásra.</w:t>
            </w:r>
          </w:p>
          <w:p w14:paraId="10F58770" w14:textId="77777777" w:rsidR="00A92400" w:rsidRPr="002E0771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14:paraId="36597F12" w14:textId="77777777" w:rsidR="004C2F43" w:rsidRPr="002E0771" w:rsidRDefault="004C2F43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2E0771">
              <w:rPr>
                <w:rFonts w:ascii="Arial" w:hAnsi="Arial"/>
                <w:i w:val="0"/>
                <w:sz w:val="18"/>
                <w:u w:val="single"/>
              </w:rPr>
              <w:t>A 3. szakaszban alkalmazott, de a 2. szakaszban meg nem magyarázott H jelzések és mondatok:</w:t>
            </w:r>
          </w:p>
          <w:p w14:paraId="226CB5E6" w14:textId="77777777" w:rsidR="004C2F43" w:rsidRDefault="004C2F43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/>
                <w:i w:val="0"/>
                <w:sz w:val="18"/>
              </w:rPr>
            </w:pPr>
            <w:r w:rsidRPr="002E0771">
              <w:rPr>
                <w:rFonts w:ascii="Arial" w:hAnsi="Arial"/>
                <w:b/>
                <w:i w:val="0"/>
                <w:sz w:val="18"/>
              </w:rPr>
              <w:t>H400</w:t>
            </w:r>
            <w:r w:rsidRPr="002E0771">
              <w:t xml:space="preserve"> </w:t>
            </w:r>
            <w:r w:rsidRPr="002E0771">
              <w:rPr>
                <w:rFonts w:ascii="Arial" w:hAnsi="Arial"/>
                <w:i w:val="0"/>
                <w:sz w:val="18"/>
              </w:rPr>
              <w:t>– Nagyon mérgező a vízi élővilágra.</w:t>
            </w:r>
          </w:p>
          <w:p w14:paraId="3F8B02A9" w14:textId="77777777" w:rsidR="0051478E" w:rsidRDefault="0051478E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H315 - </w:t>
            </w:r>
            <w:r w:rsidRPr="0051478E">
              <w:rPr>
                <w:rFonts w:ascii="Arial" w:hAnsi="Arial"/>
                <w:i w:val="0"/>
                <w:sz w:val="18"/>
              </w:rPr>
              <w:t>Bőrirritáló hatású.</w:t>
            </w:r>
          </w:p>
          <w:p w14:paraId="52F1D985" w14:textId="77777777" w:rsidR="0051478E" w:rsidRDefault="0051478E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H318 - </w:t>
            </w:r>
            <w:r w:rsidRPr="0051478E">
              <w:rPr>
                <w:rFonts w:ascii="Arial" w:hAnsi="Arial"/>
                <w:i w:val="0"/>
                <w:sz w:val="18"/>
              </w:rPr>
              <w:t>Súlyos szemkárosodást okoz.</w:t>
            </w:r>
          </w:p>
          <w:p w14:paraId="2332B223" w14:textId="77777777" w:rsidR="0051478E" w:rsidRPr="002E0771" w:rsidRDefault="0051478E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H319 - </w:t>
            </w:r>
            <w:r w:rsidRPr="0051478E">
              <w:rPr>
                <w:rFonts w:ascii="Arial" w:hAnsi="Arial"/>
                <w:i w:val="0"/>
                <w:sz w:val="18"/>
              </w:rPr>
              <w:t>Súlyos szemirritációt okoz.</w:t>
            </w:r>
          </w:p>
          <w:p w14:paraId="6AE8B4FD" w14:textId="77777777" w:rsidR="009C1F35" w:rsidRPr="002E0771" w:rsidRDefault="009C1F35" w:rsidP="006F58CA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</w:p>
          <w:p w14:paraId="7C744AAA" w14:textId="77777777" w:rsidR="009C1F35" w:rsidRPr="002E0771" w:rsidRDefault="009C1F35" w:rsidP="006F58CA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 w:rsidRPr="002E0771">
              <w:rPr>
                <w:rFonts w:ascii="Arial" w:hAnsi="Arial"/>
                <w:i w:val="0"/>
                <w:sz w:val="18"/>
                <w:u w:val="single"/>
              </w:rPr>
              <w:t>Az alkalmazott rövidítések, betűszók és jelek feloldása:</w:t>
            </w:r>
          </w:p>
          <w:p w14:paraId="1461463C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Aquatic Chronic – krónikus veszély a vízi élővilágra</w:t>
            </w:r>
          </w:p>
          <w:p w14:paraId="72D0239E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Aquatic Acute – akut veszély a vízi élővilágra</w:t>
            </w:r>
          </w:p>
          <w:p w14:paraId="35F34A9A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Eye Irrit. – a szemet irritáló hatások</w:t>
            </w:r>
          </w:p>
          <w:p w14:paraId="5181C67E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Skin Irrit. – bőrirritáló hatás</w:t>
            </w:r>
          </w:p>
          <w:p w14:paraId="7AA8B3B9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Eye dam. – szemre maró hatású</w:t>
            </w:r>
          </w:p>
          <w:p w14:paraId="3503CC40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Asp.Tox. – belélegzés, légutakba kerülés esetén káros/mérgező hatású</w:t>
            </w:r>
          </w:p>
          <w:p w14:paraId="6DBF7975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Skin Sens. – allergizáló hatás</w:t>
            </w:r>
          </w:p>
          <w:p w14:paraId="65A35EE9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Acute Tox. – akut toxicitás</w:t>
            </w:r>
          </w:p>
          <w:p w14:paraId="477CEF94" w14:textId="77777777" w:rsidR="004C2F43" w:rsidRPr="002E0771" w:rsidRDefault="004C2F43" w:rsidP="004C2F43">
            <w:pPr>
              <w:pStyle w:val="BodyText31"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STOT SE. – ismétlődő expozíció következtében káros hatás a célszervekre</w:t>
            </w:r>
          </w:p>
          <w:p w14:paraId="1EFFDFED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</w:p>
          <w:p w14:paraId="593E54CC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EK szám</w:t>
            </w:r>
            <w:r w:rsidRPr="002E0771">
              <w:rPr>
                <w:i w:val="0"/>
                <w:sz w:val="18"/>
              </w:rPr>
              <w:t xml:space="preserve"> – </w:t>
            </w:r>
            <w:r w:rsidRPr="002E0771">
              <w:rPr>
                <w:rFonts w:ascii="Arial" w:hAnsi="Arial"/>
                <w:i w:val="0"/>
                <w:sz w:val="18"/>
              </w:rPr>
              <w:t>A vegyület azonosító jele a Létező Kereskedelmi Vegyi Anyagok Európai Jegyzékében (EINECS – European Inventory of Existing Chemical Substances), vagy a vegyület azonosító jele a Törzskönyvezett Vegyi Anyagok Európai Listájában (ELINCS – European List of Notified Chemical Substances), vagy a „No-longer polymers” közleményben felsorolt vegyületek azonosító jele a listán.</w:t>
            </w:r>
          </w:p>
          <w:p w14:paraId="4747FDCF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CAS – az amerikai Chemical Abstracts Service (CAS) által a vegyülethez rendelt számjel, lehetővé teszi a vegyület azonosítását.</w:t>
            </w:r>
          </w:p>
          <w:p w14:paraId="2FE0D706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lastRenderedPageBreak/>
              <w:t>MK – legmagasabb megengedett koncentráció; annak a koncentrációnak a súlyozott átlagértéke, amelynek</w:t>
            </w:r>
          </w:p>
          <w:p w14:paraId="5FA5DF70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hatása a dolgozóra szakmai aktivitásának tartama alatt, 8 órás napi munkaidővel, a Munka</w:t>
            </w:r>
          </w:p>
          <w:p w14:paraId="7979B8DB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Törvénykönyvében meghatározott átlagos heti munkaidővel nem fejt ki negatív hatást egészségi állapotára és utódainak egészségi állapotára.</w:t>
            </w:r>
          </w:p>
          <w:p w14:paraId="4DB59C59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CK – rövid idejű megengedett legmagasabb koncentráció; a meghatározott, toxikus vegyület olyan átlagos koncentrációja, amely nem fejt ki negatív hatást a dolgozó egészségi állapotára, ha a munkahelyen legfeljebb 15 percen át áll fenn, és nem lép fel gyakrabban, mint 2 alkalommal a műszak során, és az ilyen alkalmak között eltelt idő legalább 1 óra.</w:t>
            </w:r>
          </w:p>
          <w:p w14:paraId="4B3BE6A9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ÁK – megengedett átlagos koncentráció a toxikus vegyület azon koncentrációja, amely a dolgozó egészségére vagy életére való veszélyessége miatt soha nem léphető túl a munkahelyen.</w:t>
            </w:r>
          </w:p>
          <w:p w14:paraId="540CC38D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LC50 – Közepes letális koncentráció: a vegyület kísérletek eredményei alapján statisztikai módszerekkel kiszámított olyan mennyisége, amely meghatározott körülmények között adagolva a vizsgált szervezetek 50%-ának elpusztulását okozza.</w:t>
            </w:r>
          </w:p>
          <w:p w14:paraId="08B6D01E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LD50 – (Lethal Dose) a vegyület olyan dózisa mg-ban egy kilogramm testtömegre számítva, amely a vizsgált populáció 50%-ának elpusztításához szükséges.</w:t>
            </w:r>
          </w:p>
          <w:p w14:paraId="685AC4D8" w14:textId="77777777" w:rsidR="004C2F43" w:rsidRPr="002E0771" w:rsidRDefault="004C2F43" w:rsidP="004C2F43">
            <w:pPr>
              <w:pStyle w:val="BodyText31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PBT – olyan mutató, amely meghatározza, hogy a vegyület perzisztens, bioakkumulatív és mérgező-e.</w:t>
            </w:r>
          </w:p>
          <w:p w14:paraId="7D3E8A47" w14:textId="77777777" w:rsidR="000048B3" w:rsidRPr="002E0771" w:rsidRDefault="004C2F43" w:rsidP="004C2F43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  <w:r w:rsidRPr="002E0771">
              <w:rPr>
                <w:rFonts w:ascii="Arial" w:hAnsi="Arial"/>
                <w:i w:val="0"/>
                <w:sz w:val="18"/>
              </w:rPr>
              <w:t>vPvB – olyan mutató, amely meghatározza, hogy a vegyület nagyon perzisztens és nagyon bioakkumulatív-e.</w:t>
            </w:r>
          </w:p>
        </w:tc>
      </w:tr>
    </w:tbl>
    <w:p w14:paraId="69C45E50" w14:textId="77777777" w:rsidR="005076B4" w:rsidRPr="002E0771" w:rsidRDefault="005076B4" w:rsidP="00F71B0B">
      <w:pPr>
        <w:pBdr>
          <w:top w:val="single" w:sz="4" w:space="1" w:color="auto"/>
        </w:pBdr>
        <w:spacing w:before="60"/>
        <w:ind w:left="-142"/>
        <w:jc w:val="both"/>
        <w:rPr>
          <w:rFonts w:cs="Arial"/>
          <w:sz w:val="16"/>
          <w:szCs w:val="19"/>
        </w:rPr>
      </w:pPr>
    </w:p>
    <w:p w14:paraId="2D6321FE" w14:textId="77777777" w:rsidR="004C2F43" w:rsidRPr="002E0771" w:rsidRDefault="004C2F43" w:rsidP="004C2F43">
      <w:pPr>
        <w:spacing w:before="60"/>
        <w:ind w:left="-142"/>
        <w:jc w:val="both"/>
      </w:pPr>
      <w:r w:rsidRPr="002E0771">
        <w:rPr>
          <w:sz w:val="16"/>
        </w:rPr>
        <w:t>A jelen Biztonsági adatlap adatai a mai tudáson alapulnak, és a terméket abban a formájában érintik, amelyben alkalmazásra kerül. Ezek az adatok kizárólag arra szolgálnak, hogy a biztonságos kezeléshez, szállításhoz, alkalmazáshoz, kiszereléshez, tároláshoz és hulladékkezeléshez segítséget nyújtsanak, nem értelmezhetők jótállásként vagy minőségi bizonyítványként. A felhasználót terheli az adatlap adatainak nem megfelelő felhasználásából, vagy a termék helytelen alkalmazásából eredő felelősség.</w:t>
      </w:r>
    </w:p>
    <w:p w14:paraId="4F1BDB93" w14:textId="77777777" w:rsidR="00E31187" w:rsidRPr="002E0771" w:rsidRDefault="00E31187" w:rsidP="004C2F43">
      <w:pPr>
        <w:spacing w:before="60"/>
        <w:ind w:left="-142"/>
        <w:jc w:val="both"/>
      </w:pPr>
    </w:p>
    <w:sectPr w:rsidR="00E31187" w:rsidRPr="002E0771" w:rsidSect="00F71B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134" w:header="426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C31D" w14:textId="77777777" w:rsidR="007B1BE5" w:rsidRDefault="007B1BE5" w:rsidP="00D12377">
      <w:r>
        <w:separator/>
      </w:r>
    </w:p>
  </w:endnote>
  <w:endnote w:type="continuationSeparator" w:id="0">
    <w:p w14:paraId="1BDC97AA" w14:textId="77777777" w:rsidR="007B1BE5" w:rsidRDefault="007B1BE5" w:rsidP="00D1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6E40" w14:textId="77777777" w:rsidR="00947DA5" w:rsidRDefault="00947DA5" w:rsidP="002B45E8">
    <w:pPr>
      <w:pStyle w:val="llb"/>
      <w:pBdr>
        <w:top w:val="single" w:sz="4" w:space="1" w:color="auto"/>
      </w:pBdr>
      <w:spacing w:before="120"/>
      <w:jc w:val="right"/>
      <w:rPr>
        <w:rFonts w:cs="Arial"/>
        <w:sz w:val="18"/>
      </w:rPr>
    </w:pPr>
    <w:r>
      <w:rPr>
        <w:sz w:val="18"/>
      </w:rPr>
      <w:t xml:space="preserve">oldal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PAGE  \* Arabic  \* MERGEFORMAT</w:instrText>
    </w:r>
    <w:r w:rsidRPr="001D41CB">
      <w:rPr>
        <w:rFonts w:cs="Arial"/>
        <w:sz w:val="18"/>
      </w:rPr>
      <w:fldChar w:fldCharType="separate"/>
    </w:r>
    <w:r w:rsidR="004D7EAE">
      <w:rPr>
        <w:rFonts w:cs="Arial"/>
        <w:noProof/>
        <w:sz w:val="18"/>
      </w:rPr>
      <w:t>8</w:t>
    </w:r>
    <w:r w:rsidRPr="001D41CB">
      <w:rPr>
        <w:rFonts w:cs="Arial"/>
        <w:sz w:val="18"/>
      </w:rPr>
      <w:fldChar w:fldCharType="end"/>
    </w:r>
    <w:r>
      <w:rPr>
        <w:sz w:val="18"/>
      </w:rPr>
      <w:t xml:space="preserve"> /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NUMPAGES  \* Arabic  \* MERGEFORMAT</w:instrText>
    </w:r>
    <w:r w:rsidRPr="001D41CB">
      <w:rPr>
        <w:rFonts w:cs="Arial"/>
        <w:sz w:val="18"/>
      </w:rPr>
      <w:fldChar w:fldCharType="separate"/>
    </w:r>
    <w:r w:rsidR="004D7EAE">
      <w:rPr>
        <w:rFonts w:cs="Arial"/>
        <w:noProof/>
        <w:sz w:val="18"/>
      </w:rPr>
      <w:t>8</w:t>
    </w:r>
    <w:r w:rsidRPr="001D41CB"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71" w14:textId="77777777" w:rsidR="00947DA5" w:rsidRPr="005076B4" w:rsidRDefault="00947DA5" w:rsidP="005076B4">
    <w:pPr>
      <w:pStyle w:val="llb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oldal </w:t>
    </w:r>
    <w:r w:rsidRPr="005076B4">
      <w:rPr>
        <w:sz w:val="18"/>
      </w:rPr>
      <w:fldChar w:fldCharType="begin"/>
    </w:r>
    <w:r w:rsidRPr="005076B4">
      <w:rPr>
        <w:sz w:val="18"/>
      </w:rPr>
      <w:instrText>PAGE  \* Arabic  \* MERGEFORMAT</w:instrText>
    </w:r>
    <w:r w:rsidRPr="005076B4">
      <w:rPr>
        <w:sz w:val="18"/>
      </w:rPr>
      <w:fldChar w:fldCharType="separate"/>
    </w:r>
    <w:r w:rsidR="004D7EAE">
      <w:rPr>
        <w:noProof/>
        <w:sz w:val="18"/>
      </w:rPr>
      <w:t>1</w:t>
    </w:r>
    <w:r w:rsidRPr="005076B4">
      <w:rPr>
        <w:sz w:val="18"/>
      </w:rPr>
      <w:fldChar w:fldCharType="end"/>
    </w:r>
    <w:r>
      <w:rPr>
        <w:sz w:val="18"/>
      </w:rPr>
      <w:t xml:space="preserve"> / </w:t>
    </w:r>
    <w:r w:rsidRPr="005076B4">
      <w:rPr>
        <w:sz w:val="18"/>
      </w:rPr>
      <w:fldChar w:fldCharType="begin"/>
    </w:r>
    <w:r w:rsidRPr="005076B4">
      <w:rPr>
        <w:sz w:val="18"/>
      </w:rPr>
      <w:instrText>NUMPAGES  \* Arabic  \* MERGEFORMAT</w:instrText>
    </w:r>
    <w:r w:rsidRPr="005076B4">
      <w:rPr>
        <w:sz w:val="18"/>
      </w:rPr>
      <w:fldChar w:fldCharType="separate"/>
    </w:r>
    <w:r w:rsidR="004D7EAE">
      <w:rPr>
        <w:noProof/>
        <w:sz w:val="18"/>
      </w:rPr>
      <w:t>8</w:t>
    </w:r>
    <w:r w:rsidRPr="005076B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37AC" w14:textId="77777777" w:rsidR="007B1BE5" w:rsidRDefault="007B1BE5" w:rsidP="00D12377">
      <w:r>
        <w:separator/>
      </w:r>
    </w:p>
  </w:footnote>
  <w:footnote w:type="continuationSeparator" w:id="0">
    <w:p w14:paraId="16C64C6E" w14:textId="77777777" w:rsidR="007B1BE5" w:rsidRDefault="007B1BE5" w:rsidP="00D1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54"/>
      <w:gridCol w:w="3336"/>
    </w:tblGrid>
    <w:tr w:rsidR="00947DA5" w:rsidRPr="00D12377" w14:paraId="6C7B6528" w14:textId="77777777" w:rsidTr="00F3701C">
      <w:trPr>
        <w:trHeight w:val="1135"/>
      </w:trPr>
      <w:tc>
        <w:tcPr>
          <w:tcW w:w="793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150396" w14:textId="77777777" w:rsidR="00947DA5" w:rsidRDefault="00947DA5" w:rsidP="005076B4">
          <w:pPr>
            <w:pStyle w:val="lfej"/>
            <w:rPr>
              <w:rFonts w:cs="Arial"/>
              <w:b/>
              <w:noProof/>
              <w:sz w:val="22"/>
              <w:szCs w:val="24"/>
            </w:rPr>
          </w:pPr>
        </w:p>
        <w:p w14:paraId="54374EDC" w14:textId="77777777" w:rsidR="00947DA5" w:rsidRPr="005076B4" w:rsidRDefault="00997878" w:rsidP="00C42E8F">
          <w:pPr>
            <w:pStyle w:val="lfej"/>
            <w:rPr>
              <w:rFonts w:cs="Arial"/>
              <w:b/>
              <w:noProof/>
              <w:sz w:val="24"/>
              <w:szCs w:val="24"/>
            </w:rPr>
          </w:pPr>
          <w:r>
            <w:rPr>
              <w:b/>
              <w:noProof/>
              <w:sz w:val="22"/>
            </w:rPr>
            <w:t xml:space="preserve">BIZTONSÁGI ADATLAP – </w:t>
          </w:r>
          <w:r w:rsidR="00A224D2">
            <w:rPr>
              <w:b/>
              <w:noProof/>
              <w:sz w:val="24"/>
            </w:rPr>
            <w:t>INKER</w:t>
          </w:r>
          <w:r>
            <w:rPr>
              <w:b/>
              <w:noProof/>
              <w:sz w:val="24"/>
            </w:rPr>
            <w:t xml:space="preserve"> 500 SC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8D91EB1" w14:textId="77777777" w:rsidR="00947DA5" w:rsidRPr="00D12377" w:rsidRDefault="009E37E0">
          <w:pPr>
            <w:pStyle w:val="lfej"/>
            <w:jc w:val="right"/>
            <w:rPr>
              <w:rFonts w:cs="Arial"/>
              <w:b/>
              <w:noProof/>
              <w:sz w:val="24"/>
              <w:szCs w:val="24"/>
            </w:rPr>
          </w:pPr>
          <w:r w:rsidRPr="009E37E0">
            <w:rPr>
              <w:b/>
              <w:noProof/>
              <w:sz w:val="24"/>
              <w:szCs w:val="24"/>
              <w:lang w:val="pl-PL" w:eastAsia="pl-PL" w:bidi="ar-SA"/>
            </w:rPr>
            <w:drawing>
              <wp:inline distT="0" distB="0" distL="0" distR="0" wp14:anchorId="0DBD2689" wp14:editId="2C7C0427">
                <wp:extent cx="1971675" cy="64770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4AF35" w14:textId="77777777" w:rsidR="00947DA5" w:rsidRDefault="00947D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54"/>
      <w:gridCol w:w="3336"/>
    </w:tblGrid>
    <w:tr w:rsidR="00947DA5" w:rsidRPr="00D12377" w14:paraId="0F00FA79" w14:textId="77777777" w:rsidTr="005F4AA6">
      <w:tc>
        <w:tcPr>
          <w:tcW w:w="80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D6879A" w14:textId="77777777" w:rsidR="00997878" w:rsidRPr="00D12377" w:rsidRDefault="00997878" w:rsidP="00997878">
          <w:pPr>
            <w:pStyle w:val="lfej"/>
            <w:rPr>
              <w:rFonts w:cs="Arial"/>
              <w:b/>
              <w:noProof/>
              <w:sz w:val="22"/>
              <w:szCs w:val="24"/>
            </w:rPr>
          </w:pPr>
          <w:r>
            <w:rPr>
              <w:b/>
              <w:noProof/>
              <w:sz w:val="22"/>
            </w:rPr>
            <w:t>BIZTONSÁGI ADATLAP</w:t>
          </w:r>
        </w:p>
        <w:p w14:paraId="191CE1B6" w14:textId="77777777" w:rsidR="00997878" w:rsidRPr="00D12377" w:rsidRDefault="00997878" w:rsidP="00997878">
          <w:pPr>
            <w:pStyle w:val="lfej"/>
            <w:rPr>
              <w:rFonts w:cs="Arial"/>
              <w:sz w:val="14"/>
              <w:szCs w:val="14"/>
            </w:rPr>
          </w:pPr>
          <w:r>
            <w:rPr>
              <w:sz w:val="14"/>
            </w:rPr>
            <w:t>a vegyi anyagok regisztrálásáról, értékeléséről, engedélyezéséről és korlátozásáról szóló 1907/2006/EK (2006. december 18.) rendelet szerint REACH (EU Hivatalos Lap L 396, a későbbi módosításokkal)</w:t>
          </w:r>
        </w:p>
        <w:p w14:paraId="040BB087" w14:textId="77777777" w:rsidR="00947DA5" w:rsidRPr="00D12377" w:rsidRDefault="00947DA5" w:rsidP="00AF1BB5">
          <w:pPr>
            <w:pStyle w:val="lfej"/>
            <w:rPr>
              <w:rFonts w:cs="Arial"/>
              <w:noProof/>
              <w:sz w:val="18"/>
              <w:szCs w:val="24"/>
            </w:rPr>
          </w:pPr>
        </w:p>
        <w:p w14:paraId="4F7FE15E" w14:textId="77777777" w:rsidR="00661729" w:rsidRDefault="00A224D2" w:rsidP="00AF1BB5">
          <w:pPr>
            <w:pStyle w:val="lfej"/>
            <w:rPr>
              <w:rFonts w:cs="Arial"/>
              <w:b/>
              <w:bCs/>
              <w:noProof/>
              <w:sz w:val="24"/>
              <w:szCs w:val="24"/>
            </w:rPr>
          </w:pPr>
          <w:r>
            <w:rPr>
              <w:b/>
              <w:noProof/>
              <w:sz w:val="24"/>
            </w:rPr>
            <w:t>INKER</w:t>
          </w:r>
          <w:r w:rsidR="00306820">
            <w:rPr>
              <w:b/>
              <w:noProof/>
              <w:sz w:val="24"/>
            </w:rPr>
            <w:t xml:space="preserve"> 500 SC</w:t>
          </w:r>
        </w:p>
        <w:p w14:paraId="77F5A112" w14:textId="77777777" w:rsidR="00997878" w:rsidRDefault="00997878" w:rsidP="00997878">
          <w:pPr>
            <w:pStyle w:val="lfej"/>
            <w:rPr>
              <w:rFonts w:cs="Arial"/>
              <w:noProof/>
              <w:sz w:val="16"/>
              <w:szCs w:val="24"/>
            </w:rPr>
          </w:pPr>
          <w:r>
            <w:rPr>
              <w:noProof/>
              <w:sz w:val="16"/>
            </w:rPr>
            <w:t>A kidolgozás időpontja: 2017.04.20.</w:t>
          </w:r>
        </w:p>
        <w:p w14:paraId="25312C26" w14:textId="77777777" w:rsidR="00997878" w:rsidRPr="005076B4" w:rsidRDefault="009E37E0" w:rsidP="00997878">
          <w:pPr>
            <w:pStyle w:val="lfej"/>
            <w:rPr>
              <w:rFonts w:cs="Arial"/>
              <w:noProof/>
              <w:sz w:val="16"/>
              <w:szCs w:val="24"/>
            </w:rPr>
          </w:pPr>
          <w:r>
            <w:rPr>
              <w:noProof/>
              <w:sz w:val="16"/>
            </w:rPr>
            <w:t>Az aktualizálás időpontja: 2021.07.16</w:t>
          </w:r>
        </w:p>
        <w:p w14:paraId="6A7763FA" w14:textId="77777777" w:rsidR="00947DA5" w:rsidRPr="00D12377" w:rsidRDefault="009E37E0" w:rsidP="00997878">
          <w:pPr>
            <w:pStyle w:val="lfej"/>
            <w:spacing w:after="120"/>
            <w:rPr>
              <w:rFonts w:cs="Arial"/>
              <w:noProof/>
              <w:sz w:val="18"/>
              <w:szCs w:val="24"/>
            </w:rPr>
          </w:pPr>
          <w:r>
            <w:rPr>
              <w:noProof/>
              <w:sz w:val="16"/>
            </w:rPr>
            <w:t>Verzió: 1.1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3542D" w14:textId="77777777" w:rsidR="00947DA5" w:rsidRPr="00D12377" w:rsidRDefault="009E37E0" w:rsidP="00AF1BB5">
          <w:pPr>
            <w:pStyle w:val="lfej"/>
            <w:jc w:val="right"/>
            <w:rPr>
              <w:rFonts w:cs="Arial"/>
              <w:b/>
              <w:noProof/>
              <w:sz w:val="24"/>
              <w:szCs w:val="24"/>
            </w:rPr>
          </w:pPr>
          <w:r w:rsidRPr="009E37E0">
            <w:rPr>
              <w:b/>
              <w:noProof/>
              <w:sz w:val="24"/>
              <w:szCs w:val="24"/>
              <w:lang w:val="pl-PL" w:eastAsia="pl-PL" w:bidi="ar-SA"/>
            </w:rPr>
            <w:drawing>
              <wp:inline distT="0" distB="0" distL="0" distR="0" wp14:anchorId="2CB8105B" wp14:editId="2C5831C6">
                <wp:extent cx="1971675" cy="6477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95A94F" w14:textId="77777777" w:rsidR="00947DA5" w:rsidRDefault="00947D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6A4"/>
    <w:multiLevelType w:val="multilevel"/>
    <w:tmpl w:val="A9F6C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E5782"/>
    <w:multiLevelType w:val="hybridMultilevel"/>
    <w:tmpl w:val="C910E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CBE"/>
    <w:multiLevelType w:val="multilevel"/>
    <w:tmpl w:val="6B58B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1A24CF"/>
    <w:multiLevelType w:val="hybridMultilevel"/>
    <w:tmpl w:val="A546D8F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0CA1"/>
    <w:multiLevelType w:val="hybridMultilevel"/>
    <w:tmpl w:val="4C18BF46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35245391"/>
    <w:multiLevelType w:val="hybridMultilevel"/>
    <w:tmpl w:val="70668E3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A771D"/>
    <w:multiLevelType w:val="hybridMultilevel"/>
    <w:tmpl w:val="ADBA2962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081E"/>
    <w:multiLevelType w:val="multilevel"/>
    <w:tmpl w:val="4CB08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50108"/>
    <w:multiLevelType w:val="multilevel"/>
    <w:tmpl w:val="88384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C849F4"/>
    <w:multiLevelType w:val="multilevel"/>
    <w:tmpl w:val="F7D6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163909"/>
    <w:multiLevelType w:val="hybridMultilevel"/>
    <w:tmpl w:val="BC0E006C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906"/>
    <w:multiLevelType w:val="hybridMultilevel"/>
    <w:tmpl w:val="AC52313A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F271C12"/>
    <w:multiLevelType w:val="hybridMultilevel"/>
    <w:tmpl w:val="2DBAA0A0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012E8"/>
    <w:multiLevelType w:val="hybridMultilevel"/>
    <w:tmpl w:val="E78CA71E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01D7B66"/>
    <w:multiLevelType w:val="hybridMultilevel"/>
    <w:tmpl w:val="77348E32"/>
    <w:lvl w:ilvl="0" w:tplc="3BAA7C7E">
      <w:numFmt w:val="bullet"/>
      <w:lvlText w:val="-"/>
      <w:lvlJc w:val="left"/>
      <w:pPr>
        <w:ind w:left="1321" w:hanging="360"/>
      </w:p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623007AD"/>
    <w:multiLevelType w:val="hybridMultilevel"/>
    <w:tmpl w:val="70E4404A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452636B"/>
    <w:multiLevelType w:val="hybridMultilevel"/>
    <w:tmpl w:val="A71A409A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77"/>
    <w:rsid w:val="000048B3"/>
    <w:rsid w:val="00016B9A"/>
    <w:rsid w:val="00033657"/>
    <w:rsid w:val="000364D4"/>
    <w:rsid w:val="00041515"/>
    <w:rsid w:val="000437C1"/>
    <w:rsid w:val="000476C7"/>
    <w:rsid w:val="0005027E"/>
    <w:rsid w:val="000552C5"/>
    <w:rsid w:val="00055857"/>
    <w:rsid w:val="00056E4F"/>
    <w:rsid w:val="00070502"/>
    <w:rsid w:val="00083E34"/>
    <w:rsid w:val="000879CB"/>
    <w:rsid w:val="000934A0"/>
    <w:rsid w:val="000A1131"/>
    <w:rsid w:val="000E7DBE"/>
    <w:rsid w:val="001003A5"/>
    <w:rsid w:val="001101A0"/>
    <w:rsid w:val="0011250C"/>
    <w:rsid w:val="00116A35"/>
    <w:rsid w:val="001239C7"/>
    <w:rsid w:val="00134724"/>
    <w:rsid w:val="00155AC0"/>
    <w:rsid w:val="00162941"/>
    <w:rsid w:val="00165CD8"/>
    <w:rsid w:val="00166917"/>
    <w:rsid w:val="001718E4"/>
    <w:rsid w:val="00177CF3"/>
    <w:rsid w:val="001960C2"/>
    <w:rsid w:val="001A618F"/>
    <w:rsid w:val="001C4ADA"/>
    <w:rsid w:val="001D2A1F"/>
    <w:rsid w:val="001D41CB"/>
    <w:rsid w:val="001D5130"/>
    <w:rsid w:val="001D614D"/>
    <w:rsid w:val="001E6044"/>
    <w:rsid w:val="001F0E5C"/>
    <w:rsid w:val="001F261F"/>
    <w:rsid w:val="00201796"/>
    <w:rsid w:val="002032D9"/>
    <w:rsid w:val="002246C3"/>
    <w:rsid w:val="0023737B"/>
    <w:rsid w:val="00253DB5"/>
    <w:rsid w:val="00275A4F"/>
    <w:rsid w:val="00277E99"/>
    <w:rsid w:val="00284259"/>
    <w:rsid w:val="002A0822"/>
    <w:rsid w:val="002A603E"/>
    <w:rsid w:val="002A7D3F"/>
    <w:rsid w:val="002B2B38"/>
    <w:rsid w:val="002B45E8"/>
    <w:rsid w:val="002D3A34"/>
    <w:rsid w:val="002E0771"/>
    <w:rsid w:val="002E15AA"/>
    <w:rsid w:val="002E2F6A"/>
    <w:rsid w:val="002E651E"/>
    <w:rsid w:val="002F1AA2"/>
    <w:rsid w:val="002F720D"/>
    <w:rsid w:val="00306820"/>
    <w:rsid w:val="00314F72"/>
    <w:rsid w:val="0036021C"/>
    <w:rsid w:val="00375950"/>
    <w:rsid w:val="0039196C"/>
    <w:rsid w:val="003B1CB7"/>
    <w:rsid w:val="003C21EE"/>
    <w:rsid w:val="003D29DE"/>
    <w:rsid w:val="003F6408"/>
    <w:rsid w:val="0040114D"/>
    <w:rsid w:val="004234C6"/>
    <w:rsid w:val="00426B49"/>
    <w:rsid w:val="00431F0D"/>
    <w:rsid w:val="004502CD"/>
    <w:rsid w:val="0045365D"/>
    <w:rsid w:val="0046311B"/>
    <w:rsid w:val="00470232"/>
    <w:rsid w:val="004840EE"/>
    <w:rsid w:val="004863DE"/>
    <w:rsid w:val="004A1195"/>
    <w:rsid w:val="004C2F43"/>
    <w:rsid w:val="004C7E7C"/>
    <w:rsid w:val="004D2F62"/>
    <w:rsid w:val="004D4F9C"/>
    <w:rsid w:val="004D7EAE"/>
    <w:rsid w:val="004E187A"/>
    <w:rsid w:val="00501F3E"/>
    <w:rsid w:val="005076B4"/>
    <w:rsid w:val="005125F0"/>
    <w:rsid w:val="0051275D"/>
    <w:rsid w:val="0051478E"/>
    <w:rsid w:val="00521108"/>
    <w:rsid w:val="0054037E"/>
    <w:rsid w:val="0054205C"/>
    <w:rsid w:val="00552729"/>
    <w:rsid w:val="00560492"/>
    <w:rsid w:val="00561BA1"/>
    <w:rsid w:val="0057020B"/>
    <w:rsid w:val="005750A1"/>
    <w:rsid w:val="005B0095"/>
    <w:rsid w:val="005B4634"/>
    <w:rsid w:val="005C4F71"/>
    <w:rsid w:val="005E2BEF"/>
    <w:rsid w:val="005E481C"/>
    <w:rsid w:val="005E4ED6"/>
    <w:rsid w:val="005F4AA6"/>
    <w:rsid w:val="005F4C34"/>
    <w:rsid w:val="00613DAD"/>
    <w:rsid w:val="00657D05"/>
    <w:rsid w:val="00661729"/>
    <w:rsid w:val="00684B25"/>
    <w:rsid w:val="006907AE"/>
    <w:rsid w:val="00690845"/>
    <w:rsid w:val="00692FF5"/>
    <w:rsid w:val="00697419"/>
    <w:rsid w:val="006A523A"/>
    <w:rsid w:val="006A5E39"/>
    <w:rsid w:val="006D56F7"/>
    <w:rsid w:val="006E08B9"/>
    <w:rsid w:val="006E2FF4"/>
    <w:rsid w:val="006E7D80"/>
    <w:rsid w:val="006F58CA"/>
    <w:rsid w:val="007024E9"/>
    <w:rsid w:val="0070502C"/>
    <w:rsid w:val="007132C4"/>
    <w:rsid w:val="00726D96"/>
    <w:rsid w:val="00740A2F"/>
    <w:rsid w:val="007435A7"/>
    <w:rsid w:val="00760252"/>
    <w:rsid w:val="00767040"/>
    <w:rsid w:val="00774599"/>
    <w:rsid w:val="00793A70"/>
    <w:rsid w:val="007B0DAA"/>
    <w:rsid w:val="007B1BE5"/>
    <w:rsid w:val="007B596F"/>
    <w:rsid w:val="007B6132"/>
    <w:rsid w:val="007D5E3C"/>
    <w:rsid w:val="007D7FD4"/>
    <w:rsid w:val="007E3199"/>
    <w:rsid w:val="007F3938"/>
    <w:rsid w:val="007F4B5A"/>
    <w:rsid w:val="00800986"/>
    <w:rsid w:val="008066C5"/>
    <w:rsid w:val="00810565"/>
    <w:rsid w:val="00823D26"/>
    <w:rsid w:val="00835E46"/>
    <w:rsid w:val="008553B0"/>
    <w:rsid w:val="00866F0B"/>
    <w:rsid w:val="00871081"/>
    <w:rsid w:val="008914AC"/>
    <w:rsid w:val="008932DF"/>
    <w:rsid w:val="008C20D7"/>
    <w:rsid w:val="008D4043"/>
    <w:rsid w:val="008D4386"/>
    <w:rsid w:val="008E234E"/>
    <w:rsid w:val="008E6514"/>
    <w:rsid w:val="00900FF7"/>
    <w:rsid w:val="00901D22"/>
    <w:rsid w:val="00901F42"/>
    <w:rsid w:val="00902281"/>
    <w:rsid w:val="00913055"/>
    <w:rsid w:val="009409F4"/>
    <w:rsid w:val="00946ECF"/>
    <w:rsid w:val="00947DA5"/>
    <w:rsid w:val="009554DD"/>
    <w:rsid w:val="009603E2"/>
    <w:rsid w:val="009613E1"/>
    <w:rsid w:val="00963276"/>
    <w:rsid w:val="009705CA"/>
    <w:rsid w:val="00997878"/>
    <w:rsid w:val="009B2BA0"/>
    <w:rsid w:val="009B32CF"/>
    <w:rsid w:val="009B74B5"/>
    <w:rsid w:val="009C1F35"/>
    <w:rsid w:val="009C249B"/>
    <w:rsid w:val="009C47BD"/>
    <w:rsid w:val="009C56A7"/>
    <w:rsid w:val="009C5A68"/>
    <w:rsid w:val="009E37E0"/>
    <w:rsid w:val="009E53E1"/>
    <w:rsid w:val="00A110F6"/>
    <w:rsid w:val="00A11EE1"/>
    <w:rsid w:val="00A224D2"/>
    <w:rsid w:val="00A32DA1"/>
    <w:rsid w:val="00A33C5E"/>
    <w:rsid w:val="00A60ED4"/>
    <w:rsid w:val="00A70F8C"/>
    <w:rsid w:val="00A92400"/>
    <w:rsid w:val="00AA671E"/>
    <w:rsid w:val="00AC6916"/>
    <w:rsid w:val="00AC7075"/>
    <w:rsid w:val="00AD0BCE"/>
    <w:rsid w:val="00AD7CA3"/>
    <w:rsid w:val="00AE77E8"/>
    <w:rsid w:val="00AF1BB5"/>
    <w:rsid w:val="00AF41BE"/>
    <w:rsid w:val="00AF7C06"/>
    <w:rsid w:val="00B01A9D"/>
    <w:rsid w:val="00B21BEC"/>
    <w:rsid w:val="00B26227"/>
    <w:rsid w:val="00B26B32"/>
    <w:rsid w:val="00B3531E"/>
    <w:rsid w:val="00B363EF"/>
    <w:rsid w:val="00B41D54"/>
    <w:rsid w:val="00B63992"/>
    <w:rsid w:val="00B645D6"/>
    <w:rsid w:val="00B728D1"/>
    <w:rsid w:val="00B7443F"/>
    <w:rsid w:val="00B951F4"/>
    <w:rsid w:val="00B967AA"/>
    <w:rsid w:val="00B97590"/>
    <w:rsid w:val="00BA1279"/>
    <w:rsid w:val="00BB0868"/>
    <w:rsid w:val="00BB1382"/>
    <w:rsid w:val="00BB75FE"/>
    <w:rsid w:val="00BE6CA4"/>
    <w:rsid w:val="00BF37D9"/>
    <w:rsid w:val="00BF4DC4"/>
    <w:rsid w:val="00C055F2"/>
    <w:rsid w:val="00C42E8F"/>
    <w:rsid w:val="00C50375"/>
    <w:rsid w:val="00C563F3"/>
    <w:rsid w:val="00C57839"/>
    <w:rsid w:val="00C87BA6"/>
    <w:rsid w:val="00C93FA2"/>
    <w:rsid w:val="00CB076F"/>
    <w:rsid w:val="00CC76C3"/>
    <w:rsid w:val="00CD12E4"/>
    <w:rsid w:val="00CF0DBB"/>
    <w:rsid w:val="00D03615"/>
    <w:rsid w:val="00D07220"/>
    <w:rsid w:val="00D12377"/>
    <w:rsid w:val="00D219AA"/>
    <w:rsid w:val="00D32678"/>
    <w:rsid w:val="00D37B1D"/>
    <w:rsid w:val="00D7036C"/>
    <w:rsid w:val="00D76F50"/>
    <w:rsid w:val="00D85EB2"/>
    <w:rsid w:val="00D90634"/>
    <w:rsid w:val="00D92AAD"/>
    <w:rsid w:val="00DA489A"/>
    <w:rsid w:val="00DA48ED"/>
    <w:rsid w:val="00DD1F07"/>
    <w:rsid w:val="00DE71A9"/>
    <w:rsid w:val="00DF5543"/>
    <w:rsid w:val="00E059D0"/>
    <w:rsid w:val="00E1077F"/>
    <w:rsid w:val="00E23A41"/>
    <w:rsid w:val="00E31187"/>
    <w:rsid w:val="00E5239F"/>
    <w:rsid w:val="00E75F40"/>
    <w:rsid w:val="00E8397E"/>
    <w:rsid w:val="00E903A0"/>
    <w:rsid w:val="00EA54C1"/>
    <w:rsid w:val="00EA55D0"/>
    <w:rsid w:val="00EB7416"/>
    <w:rsid w:val="00EC1277"/>
    <w:rsid w:val="00EC66D0"/>
    <w:rsid w:val="00ED09FC"/>
    <w:rsid w:val="00ED0F6A"/>
    <w:rsid w:val="00ED3E3C"/>
    <w:rsid w:val="00ED48B2"/>
    <w:rsid w:val="00ED5C90"/>
    <w:rsid w:val="00F24CF8"/>
    <w:rsid w:val="00F320B0"/>
    <w:rsid w:val="00F3701C"/>
    <w:rsid w:val="00F549DC"/>
    <w:rsid w:val="00F64FE2"/>
    <w:rsid w:val="00F66EAD"/>
    <w:rsid w:val="00F71B0B"/>
    <w:rsid w:val="00F821BB"/>
    <w:rsid w:val="00F8676B"/>
    <w:rsid w:val="00F96138"/>
    <w:rsid w:val="00FA29FC"/>
    <w:rsid w:val="00FA54F3"/>
    <w:rsid w:val="00FB18B0"/>
    <w:rsid w:val="00FC0C22"/>
    <w:rsid w:val="00FD1BD9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FF0A"/>
  <w15:docId w15:val="{9A36D546-4D2C-4690-A08A-ADD422F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7E8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D12377"/>
    <w:pPr>
      <w:keepNext/>
      <w:keepLines/>
      <w:spacing w:after="120"/>
      <w:outlineLvl w:val="4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123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12377"/>
  </w:style>
  <w:style w:type="paragraph" w:styleId="llb">
    <w:name w:val="footer"/>
    <w:basedOn w:val="Norml"/>
    <w:link w:val="llbChar"/>
    <w:uiPriority w:val="99"/>
    <w:unhideWhenUsed/>
    <w:rsid w:val="00D123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2377"/>
  </w:style>
  <w:style w:type="paragraph" w:styleId="Buborkszveg">
    <w:name w:val="Balloon Text"/>
    <w:basedOn w:val="Norml"/>
    <w:link w:val="BuborkszvegChar"/>
    <w:uiPriority w:val="99"/>
    <w:semiHidden/>
    <w:unhideWhenUsed/>
    <w:rsid w:val="00D123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377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rsid w:val="00D12377"/>
    <w:rPr>
      <w:rFonts w:eastAsia="Times New Roman"/>
      <w:snapToGrid w:val="0"/>
      <w:szCs w:val="20"/>
      <w:lang w:eastAsia="hu-HU"/>
    </w:rPr>
  </w:style>
  <w:style w:type="paragraph" w:customStyle="1" w:styleId="CWHead">
    <w:name w:val="CWHead"/>
    <w:basedOn w:val="Norml"/>
    <w:rsid w:val="00D12377"/>
    <w:pPr>
      <w:pBdr>
        <w:top w:val="single" w:sz="12" w:space="1" w:color="auto"/>
        <w:bottom w:val="single" w:sz="12" w:space="1" w:color="auto"/>
      </w:pBdr>
      <w:tabs>
        <w:tab w:val="left" w:pos="2880"/>
      </w:tabs>
      <w:spacing w:before="120" w:after="160"/>
    </w:pPr>
    <w:rPr>
      <w:rFonts w:ascii="Helvetica" w:hAnsi="Helvetica"/>
      <w:sz w:val="28"/>
    </w:rPr>
  </w:style>
  <w:style w:type="paragraph" w:styleId="Csakszveg">
    <w:name w:val="Plain Text"/>
    <w:basedOn w:val="Norml"/>
    <w:link w:val="CsakszvegChar"/>
    <w:uiPriority w:val="99"/>
    <w:rsid w:val="00D12377"/>
    <w:pPr>
      <w:widowControl/>
    </w:pPr>
    <w:rPr>
      <w:rFonts w:ascii="Courier New" w:hAnsi="Courier New"/>
      <w:snapToGrid/>
    </w:rPr>
  </w:style>
  <w:style w:type="character" w:customStyle="1" w:styleId="CsakszvegChar">
    <w:name w:val="Csak szöveg Char"/>
    <w:basedOn w:val="Bekezdsalapbettpusa"/>
    <w:link w:val="Csakszveg"/>
    <w:uiPriority w:val="99"/>
    <w:rsid w:val="00D12377"/>
    <w:rPr>
      <w:rFonts w:ascii="Courier New" w:eastAsia="Times New Roman" w:hAnsi="Courier New"/>
      <w:sz w:val="20"/>
      <w:szCs w:val="20"/>
      <w:lang w:val="hu-HU" w:eastAsia="hu-HU"/>
    </w:rPr>
  </w:style>
  <w:style w:type="table" w:styleId="Rcsostblzat">
    <w:name w:val="Table Grid"/>
    <w:basedOn w:val="Normltblzat"/>
    <w:rsid w:val="00D1237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Bekezdsalapbettpusa"/>
    <w:rsid w:val="00D12377"/>
  </w:style>
  <w:style w:type="paragraph" w:styleId="Listaszerbekezds">
    <w:name w:val="List Paragraph"/>
    <w:basedOn w:val="Norml"/>
    <w:uiPriority w:val="34"/>
    <w:qFormat/>
    <w:rsid w:val="00B363EF"/>
    <w:pPr>
      <w:ind w:left="720"/>
      <w:contextualSpacing/>
    </w:pPr>
  </w:style>
  <w:style w:type="paragraph" w:customStyle="1" w:styleId="BodyText31">
    <w:name w:val="Body Text 31"/>
    <w:basedOn w:val="Norml"/>
    <w:rsid w:val="00E3118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napToGrid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1960C2"/>
    <w:rPr>
      <w:rFonts w:ascii="Arial" w:hAnsi="Arial" w:cs="Arial" w:hint="default"/>
      <w:b w:val="0"/>
      <w:bCs w:val="0"/>
      <w:color w:val="0066CC"/>
      <w:sz w:val="21"/>
      <w:szCs w:val="21"/>
      <w:u w:val="single"/>
    </w:rPr>
  </w:style>
  <w:style w:type="paragraph" w:customStyle="1" w:styleId="Default">
    <w:name w:val="Default"/>
    <w:rsid w:val="00BB08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F8DFAD-AD0D-4F3A-B5CD-E3A3F23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19920</Characters>
  <Application>Microsoft Office Word</Application>
  <DocSecurity>0</DocSecurity>
  <Lines>306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Dobrochna Panka</dc:creator>
  <cp:lastModifiedBy>Ferenc Somos</cp:lastModifiedBy>
  <cp:revision>2</cp:revision>
  <cp:lastPrinted>2016-12-20T10:27:00Z</cp:lastPrinted>
  <dcterms:created xsi:type="dcterms:W3CDTF">2021-08-18T11:01:00Z</dcterms:created>
  <dcterms:modified xsi:type="dcterms:W3CDTF">2021-08-18T11:01:00Z</dcterms:modified>
</cp:coreProperties>
</file>